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sz w:val="20"/>
        </w:rPr>
      </w:pPr>
      <w:r>
        <w:rPr/>
        <w:pict>
          <v:group style="position:absolute;margin-left:0pt;margin-top:0pt;width:594.450pt;height:99.35pt;mso-position-horizontal-relative:page;mso-position-vertical-relative:page;z-index:1096" coordorigin="0,0" coordsize="11889,1987">
            <v:shape style="position:absolute;left:3869;top:0;width:8020;height:1981" type="#_x0000_t75" stroked="false">
              <v:imagedata r:id="rId5" o:title=""/>
            </v:shape>
            <v:shape style="position:absolute;left:0;top:0;width:4454;height:1987" type="#_x0000_t75" stroked="false">
              <v:imagedata r:id="rId6" o:title=""/>
            </v:shape>
            <v:shape style="position:absolute;left:6405;top:698;width:5206;height:939" type="#_x0000_t75" stroked="false">
              <v:imagedata r:id="rId7" o:title=""/>
            </v:shape>
            <v:shape style="position:absolute;left:2775;top:195;width:3448;height:1545" type="#_x0000_t75" stroked="false">
              <v:imagedata r:id="rId8" o:title=""/>
            </v:shape>
            <v:shapetype id="_x0000_t202" o:spt="202" coordsize="21600,21600" path="m,l,21600r21600,l21600,xe">
              <v:stroke joinstyle="miter"/>
              <v:path gradientshapeok="t" o:connecttype="rect"/>
            </v:shapetype>
            <v:shape style="position:absolute;left:0;top:0;width:11889;height:1987" type="#_x0000_t202" filled="false" stroked="false">
              <v:textbox inset="0,0,0,0">
                <w:txbxContent>
                  <w:p>
                    <w:pPr>
                      <w:spacing w:line="240" w:lineRule="auto" w:before="0"/>
                      <w:rPr>
                        <w:sz w:val="22"/>
                      </w:rPr>
                    </w:pPr>
                  </w:p>
                  <w:p>
                    <w:pPr>
                      <w:spacing w:line="240" w:lineRule="auto" w:before="0"/>
                      <w:rPr>
                        <w:sz w:val="22"/>
                      </w:rPr>
                    </w:pPr>
                  </w:p>
                  <w:p>
                    <w:pPr>
                      <w:spacing w:line="256" w:lineRule="auto" w:before="192"/>
                      <w:ind w:left="6776" w:right="634" w:firstLine="516"/>
                      <w:jc w:val="left"/>
                      <w:rPr>
                        <w:rFonts w:ascii="Arial"/>
                        <w:sz w:val="22"/>
                      </w:rPr>
                    </w:pPr>
                    <w:r>
                      <w:rPr>
                        <w:rFonts w:ascii="Trebuchet MS"/>
                        <w:b/>
                        <w:color w:val="385522"/>
                        <w:sz w:val="22"/>
                      </w:rPr>
                      <w:t>Sistema Municipal de Meio Ambiente </w:t>
                    </w:r>
                    <w:r>
                      <w:rPr>
                        <w:rFonts w:ascii="Arial"/>
                        <w:color w:val="385522"/>
                        <w:w w:val="95"/>
                        <w:sz w:val="22"/>
                      </w:rPr>
                      <w:t>Secretaria</w:t>
                    </w:r>
                    <w:r>
                      <w:rPr>
                        <w:rFonts w:ascii="Arial"/>
                        <w:color w:val="385522"/>
                        <w:spacing w:val="-28"/>
                        <w:w w:val="95"/>
                        <w:sz w:val="22"/>
                      </w:rPr>
                      <w:t> </w:t>
                    </w:r>
                    <w:r>
                      <w:rPr>
                        <w:rFonts w:ascii="Arial"/>
                        <w:color w:val="385522"/>
                        <w:w w:val="95"/>
                        <w:sz w:val="22"/>
                      </w:rPr>
                      <w:t>Municipal</w:t>
                    </w:r>
                    <w:r>
                      <w:rPr>
                        <w:rFonts w:ascii="Arial"/>
                        <w:color w:val="385522"/>
                        <w:spacing w:val="-26"/>
                        <w:w w:val="95"/>
                        <w:sz w:val="22"/>
                      </w:rPr>
                      <w:t> </w:t>
                    </w:r>
                    <w:r>
                      <w:rPr>
                        <w:rFonts w:ascii="Arial"/>
                        <w:color w:val="385522"/>
                        <w:w w:val="95"/>
                        <w:sz w:val="22"/>
                      </w:rPr>
                      <w:t>de</w:t>
                    </w:r>
                    <w:r>
                      <w:rPr>
                        <w:rFonts w:ascii="Arial"/>
                        <w:color w:val="385522"/>
                        <w:spacing w:val="-25"/>
                        <w:w w:val="95"/>
                        <w:sz w:val="22"/>
                      </w:rPr>
                      <w:t> </w:t>
                    </w:r>
                    <w:r>
                      <w:rPr>
                        <w:rFonts w:ascii="Arial"/>
                        <w:color w:val="385522"/>
                        <w:w w:val="95"/>
                        <w:sz w:val="22"/>
                      </w:rPr>
                      <w:t>Meio</w:t>
                    </w:r>
                    <w:r>
                      <w:rPr>
                        <w:rFonts w:ascii="Arial"/>
                        <w:color w:val="385522"/>
                        <w:spacing w:val="-25"/>
                        <w:w w:val="95"/>
                        <w:sz w:val="22"/>
                      </w:rPr>
                      <w:t> </w:t>
                    </w:r>
                    <w:r>
                      <w:rPr>
                        <w:rFonts w:ascii="Arial"/>
                        <w:color w:val="385522"/>
                        <w:w w:val="95"/>
                        <w:sz w:val="22"/>
                      </w:rPr>
                      <w:t>Ambiente</w:t>
                    </w:r>
                    <w:r>
                      <w:rPr>
                        <w:rFonts w:ascii="Arial"/>
                        <w:color w:val="385522"/>
                        <w:spacing w:val="-23"/>
                        <w:w w:val="95"/>
                        <w:sz w:val="22"/>
                      </w:rPr>
                      <w:t> </w:t>
                    </w:r>
                    <w:r>
                      <w:rPr>
                        <w:rFonts w:ascii="Arial"/>
                        <w:color w:val="385522"/>
                        <w:w w:val="95"/>
                        <w:sz w:val="22"/>
                      </w:rPr>
                      <w:t>-</w:t>
                    </w:r>
                    <w:r>
                      <w:rPr>
                        <w:rFonts w:ascii="Arial"/>
                        <w:color w:val="385522"/>
                        <w:spacing w:val="-26"/>
                        <w:w w:val="95"/>
                        <w:sz w:val="22"/>
                      </w:rPr>
                      <w:t> </w:t>
                    </w:r>
                    <w:r>
                      <w:rPr>
                        <w:rFonts w:ascii="Arial"/>
                        <w:color w:val="385522"/>
                        <w:w w:val="95"/>
                        <w:sz w:val="22"/>
                      </w:rPr>
                      <w:t>SEMMA Conselho</w:t>
                    </w:r>
                    <w:r>
                      <w:rPr>
                        <w:rFonts w:ascii="Arial"/>
                        <w:color w:val="385522"/>
                        <w:spacing w:val="-35"/>
                        <w:w w:val="95"/>
                        <w:sz w:val="22"/>
                      </w:rPr>
                      <w:t> </w:t>
                    </w:r>
                    <w:r>
                      <w:rPr>
                        <w:rFonts w:ascii="Arial"/>
                        <w:color w:val="385522"/>
                        <w:w w:val="95"/>
                        <w:sz w:val="22"/>
                      </w:rPr>
                      <w:t>Municipal</w:t>
                    </w:r>
                    <w:r>
                      <w:rPr>
                        <w:rFonts w:ascii="Arial"/>
                        <w:color w:val="385522"/>
                        <w:spacing w:val="-35"/>
                        <w:w w:val="95"/>
                        <w:sz w:val="22"/>
                      </w:rPr>
                      <w:t> </w:t>
                    </w:r>
                    <w:r>
                      <w:rPr>
                        <w:rFonts w:ascii="Arial"/>
                        <w:color w:val="385522"/>
                        <w:w w:val="95"/>
                        <w:sz w:val="22"/>
                      </w:rPr>
                      <w:t>de</w:t>
                    </w:r>
                    <w:r>
                      <w:rPr>
                        <w:rFonts w:ascii="Arial"/>
                        <w:color w:val="385522"/>
                        <w:spacing w:val="-36"/>
                        <w:w w:val="95"/>
                        <w:sz w:val="22"/>
                      </w:rPr>
                      <w:t> </w:t>
                    </w:r>
                    <w:r>
                      <w:rPr>
                        <w:rFonts w:ascii="Arial"/>
                        <w:color w:val="385522"/>
                        <w:w w:val="95"/>
                        <w:sz w:val="22"/>
                      </w:rPr>
                      <w:t>Meio</w:t>
                    </w:r>
                    <w:r>
                      <w:rPr>
                        <w:rFonts w:ascii="Arial"/>
                        <w:color w:val="385522"/>
                        <w:spacing w:val="-35"/>
                        <w:w w:val="95"/>
                        <w:sz w:val="22"/>
                      </w:rPr>
                      <w:t> </w:t>
                    </w:r>
                    <w:r>
                      <w:rPr>
                        <w:rFonts w:ascii="Arial"/>
                        <w:color w:val="385522"/>
                        <w:w w:val="95"/>
                        <w:sz w:val="22"/>
                      </w:rPr>
                      <w:t>Ambiente</w:t>
                    </w:r>
                    <w:r>
                      <w:rPr>
                        <w:rFonts w:ascii="Arial"/>
                        <w:color w:val="385522"/>
                        <w:spacing w:val="-35"/>
                        <w:w w:val="95"/>
                        <w:sz w:val="22"/>
                      </w:rPr>
                      <w:t> </w:t>
                    </w:r>
                    <w:r>
                      <w:rPr>
                        <w:rFonts w:ascii="Arial"/>
                        <w:color w:val="385522"/>
                        <w:w w:val="95"/>
                        <w:sz w:val="22"/>
                      </w:rPr>
                      <w:t>-</w:t>
                    </w:r>
                    <w:r>
                      <w:rPr>
                        <w:rFonts w:ascii="Arial"/>
                        <w:color w:val="385522"/>
                        <w:spacing w:val="-35"/>
                        <w:w w:val="95"/>
                        <w:sz w:val="22"/>
                      </w:rPr>
                      <w:t> </w:t>
                    </w:r>
                    <w:r>
                      <w:rPr>
                        <w:rFonts w:ascii="Arial"/>
                        <w:color w:val="385522"/>
                        <w:w w:val="95"/>
                        <w:sz w:val="22"/>
                      </w:rPr>
                      <w:t>CODEMA</w:t>
                    </w:r>
                  </w:p>
                </w:txbxContent>
              </v:textbox>
              <w10:wrap type="none"/>
            </v:shape>
            <w10:wrap type="non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19"/>
        </w:rPr>
      </w:pPr>
    </w:p>
    <w:p>
      <w:pPr>
        <w:spacing w:line="240" w:lineRule="auto" w:before="70"/>
        <w:ind w:left="2179" w:right="2205" w:firstLine="0"/>
        <w:jc w:val="center"/>
        <w:rPr>
          <w:b/>
          <w:sz w:val="72"/>
        </w:rPr>
      </w:pPr>
      <w:r>
        <w:rPr/>
        <w:pict>
          <v:group style="position:absolute;margin-left:1.2998pt;margin-top:-423.200623pt;width:593.450pt;height:399.55pt;mso-position-horizontal-relative:page;mso-position-vertical-relative:paragraph;z-index:1120" coordorigin="26,-8464" coordsize="11869,7991">
            <v:shape style="position:absolute;left:26;top:-8465;width:11869;height:7952" type="#_x0000_t75" stroked="false">
              <v:imagedata r:id="rId9" o:title=""/>
            </v:shape>
            <v:shape style="position:absolute;left:2551;top:-2121;width:6768;height:1647" type="#_x0000_t75" stroked="false">
              <v:imagedata r:id="rId10" o:title=""/>
            </v:shape>
            <v:shape style="position:absolute;left:2717;top:-1687;width:4677;height:562" type="#_x0000_t75" stroked="false">
              <v:imagedata r:id="rId11" o:title=""/>
            </v:shape>
            <v:shape style="position:absolute;left:7615;top:-1673;width:1513;height:542" coordorigin="7615,-1672" coordsize="1513,542" path="m8170,-1663l8068,-1663,8068,-1148,8133,-1148,8133,-1586,8196,-1586,8170,-1663xm8196,-1586l8135,-1586,8283,-1148,8344,-1148,8370,-1222,8316,-1222,8313,-1233,8308,-1249,8302,-1271,8292,-1298,8196,-1586xm8559,-1579l8494,-1579,8494,-1148,8559,-1148,8559,-1579xm8559,-1663l8468,-1663,8345,-1305,8336,-1280,8329,-1258,8323,-1239,8317,-1222,8370,-1222,8492,-1579,8559,-1579,8559,-1663xm7815,-1663l7764,-1663,7615,-1131,7666,-1131,7815,-1663xm8910,-1672l8869,-1670,8832,-1664,8799,-1653,8768,-1638,8741,-1618,8717,-1596,8697,-1570,8681,-1540,8668,-1508,8658,-1474,8653,-1440,8651,-1404,8655,-1347,8669,-1296,8692,-1251,8723,-1211,8763,-1180,8808,-1157,8858,-1144,8915,-1139,8971,-1144,9026,-1159,9078,-1185,9100,-1201,8911,-1201,8885,-1202,8860,-1207,8836,-1214,8813,-1224,8792,-1237,8773,-1253,8758,-1272,8745,-1293,8735,-1317,8727,-1345,8723,-1375,8722,-1408,8725,-1452,8733,-1491,8748,-1526,8769,-1557,8796,-1582,8828,-1600,8866,-1610,8910,-1614,9072,-1614,9049,-1634,9021,-1651,8988,-1663,8951,-1670,8910,-1672xm9128,-1411l8910,-1411,8910,-1349,9061,-1349,9061,-1254,9026,-1231,8989,-1214,8951,-1204,8911,-1201,9100,-1201,9128,-1220,9128,-1411xm9072,-1614l8910,-1614,8938,-1612,8964,-1607,8987,-1598,9007,-1586,9024,-1570,9039,-1551,9050,-1528,9059,-1502,9120,-1520,9109,-1555,9093,-1586,9073,-1613,9072,-1614xe" filled="true" fillcolor="#ffffff" stroked="false">
              <v:path arrowok="t"/>
              <v:fill type="solid"/>
            </v:shape>
            <v:shape style="position:absolute;left:7615;top:-1673;width:1513;height:542" coordorigin="7615,-1672" coordsize="1513,542" path="m8068,-1663l8170,-1663,8292,-1298,8302,-1271,8308,-1249,8313,-1233,8316,-1222,8317,-1222,8323,-1239,8329,-1258,8336,-1280,8345,-1305,8468,-1663,8559,-1663,8559,-1148,8494,-1148,8494,-1579,8492,-1579,8344,-1148,8283,-1148,8135,-1586,8133,-1586,8133,-1148,8068,-1148,8068,-1663xm7764,-1663l7815,-1663,7666,-1131,7615,-1131,7764,-1663xm8910,-1672l8951,-1670,8988,-1663,9021,-1651,9049,-1634,9073,-1613,9093,-1586,9109,-1555,9120,-1520,9059,-1502,9050,-1528,9039,-1551,9024,-1570,9007,-1586,8987,-1598,8964,-1607,8938,-1612,8910,-1614,8866,-1610,8828,-1600,8796,-1582,8769,-1557,8748,-1526,8733,-1491,8725,-1452,8722,-1408,8723,-1375,8727,-1345,8735,-1317,8745,-1293,8758,-1272,8773,-1253,8792,-1237,8813,-1224,8836,-1214,8860,-1207,8885,-1202,8911,-1201,8951,-1204,8989,-1214,9026,-1231,9061,-1254,9061,-1349,8910,-1349,8910,-1411,9128,-1411,9128,-1220,9078,-1185,9026,-1159,8971,-1144,8915,-1139,8858,-1144,8808,-1157,8763,-1180,8723,-1211,8692,-1251,8669,-1296,8655,-1347,8651,-1404,8653,-1440,8658,-1474,8668,-1508,8681,-1540,8697,-1570,8717,-1596,8741,-1618,8768,-1638,8799,-1653,8832,-1664,8869,-1670,8910,-1672xe" filled="false" stroked="true" strokeweight="1.45pt" strokecolor="#ffffff">
              <v:path arrowok="t"/>
              <v:stroke dashstyle="solid"/>
            </v:shape>
            <w10:wrap type="none"/>
          </v:group>
        </w:pict>
      </w:r>
      <w:r>
        <w:rPr>
          <w:b/>
          <w:sz w:val="72"/>
        </w:rPr>
        <w:t>Plano Municipal de Segurança de Barragens PMSB</w:t>
      </w:r>
    </w:p>
    <w:p>
      <w:pPr>
        <w:spacing w:before="372"/>
        <w:ind w:left="2179" w:right="2204" w:firstLine="0"/>
        <w:jc w:val="center"/>
        <w:rPr>
          <w:sz w:val="32"/>
        </w:rPr>
      </w:pPr>
      <w:r>
        <w:rPr>
          <w:sz w:val="32"/>
        </w:rPr>
        <w:t>Versão 1.5</w:t>
      </w:r>
    </w:p>
    <w:p>
      <w:pPr>
        <w:pStyle w:val="BodyText"/>
        <w:rPr>
          <w:sz w:val="20"/>
        </w:rPr>
      </w:pPr>
    </w:p>
    <w:p>
      <w:pPr>
        <w:pStyle w:val="BodyText"/>
        <w:rPr>
          <w:sz w:val="20"/>
        </w:rPr>
      </w:pPr>
    </w:p>
    <w:p>
      <w:pPr>
        <w:pStyle w:val="BodyText"/>
        <w:spacing w:before="4"/>
      </w:pPr>
      <w:r>
        <w:rPr/>
        <w:pict>
          <v:group style="position:absolute;margin-left:2.75pt;margin-top:15.994912pt;width:590.3pt;height:36.1pt;mso-position-horizontal-relative:page;mso-position-vertical-relative:paragraph;z-index:-1000;mso-wrap-distance-left:0;mso-wrap-distance-right:0" coordorigin="55,320" coordsize="11806,722">
            <v:rect style="position:absolute;left:55;top:319;width:11806;height:722" filled="true" fillcolor="#538235" stroked="false">
              <v:fill type="solid"/>
            </v:rect>
            <v:shape style="position:absolute;left:5528;top:556;width:750;height:360" type="#_x0000_t202" filled="false" stroked="false">
              <v:textbox inset="0,0,0,0">
                <w:txbxContent>
                  <w:p>
                    <w:pPr>
                      <w:spacing w:line="346" w:lineRule="exact" w:before="0"/>
                      <w:ind w:left="0" w:right="0" w:firstLine="0"/>
                      <w:jc w:val="left"/>
                      <w:rPr>
                        <w:rFonts w:ascii="Arial"/>
                        <w:sz w:val="36"/>
                      </w:rPr>
                    </w:pPr>
                    <w:r>
                      <w:rPr>
                        <w:rFonts w:ascii="Arial"/>
                        <w:color w:val="FFFFFF"/>
                        <w:w w:val="90"/>
                        <w:sz w:val="36"/>
                      </w:rPr>
                      <w:t>2019</w:t>
                    </w:r>
                  </w:p>
                </w:txbxContent>
              </v:textbox>
              <w10:wrap type="none"/>
            </v:shape>
            <w10:wrap type="topAndBottom"/>
          </v:group>
        </w:pict>
      </w:r>
    </w:p>
    <w:p>
      <w:pPr>
        <w:spacing w:after="0"/>
        <w:sectPr>
          <w:type w:val="continuous"/>
          <w:pgSz w:w="11910" w:h="16840"/>
          <w:pgMar w:top="0" w:bottom="280" w:left="0" w:right="0"/>
        </w:sectPr>
      </w:pPr>
    </w:p>
    <w:p>
      <w:pPr>
        <w:pStyle w:val="BodyText"/>
        <w:rPr>
          <w:sz w:val="20"/>
        </w:rPr>
      </w:pPr>
    </w:p>
    <w:p>
      <w:pPr>
        <w:pStyle w:val="BodyText"/>
        <w:rPr>
          <w:sz w:val="20"/>
        </w:rPr>
      </w:pPr>
    </w:p>
    <w:p>
      <w:pPr>
        <w:pStyle w:val="BodyText"/>
        <w:spacing w:before="1"/>
        <w:rPr>
          <w:sz w:val="18"/>
        </w:rPr>
      </w:pPr>
    </w:p>
    <w:p>
      <w:pPr>
        <w:spacing w:after="0"/>
        <w:rPr>
          <w:sz w:val="18"/>
        </w:rPr>
        <w:sectPr>
          <w:pgSz w:w="11910" w:h="16840"/>
          <w:pgMar w:top="0" w:bottom="0" w:left="0" w:right="0"/>
        </w:sectPr>
      </w:pPr>
    </w:p>
    <w:p>
      <w:pPr>
        <w:pStyle w:val="Heading1"/>
        <w:spacing w:line="172" w:lineRule="auto"/>
      </w:pPr>
      <w:r>
        <w:rPr/>
        <w:drawing>
          <wp:anchor distT="0" distB="0" distL="0" distR="0" allowOverlap="1" layoutInCell="1" locked="0" behindDoc="0" simplePos="0" relativeHeight="1168">
            <wp:simplePos x="0" y="0"/>
            <wp:positionH relativeFrom="page">
              <wp:posOffset>979932</wp:posOffset>
            </wp:positionH>
            <wp:positionV relativeFrom="paragraph">
              <wp:posOffset>-9589</wp:posOffset>
            </wp:positionV>
            <wp:extent cx="1478280" cy="612648"/>
            <wp:effectExtent l="0" t="0" r="0" b="0"/>
            <wp:wrapNone/>
            <wp:docPr id="1" name="image8.png" descr=""/>
            <wp:cNvGraphicFramePr>
              <a:graphicFrameLocks noChangeAspect="1"/>
            </wp:cNvGraphicFramePr>
            <a:graphic>
              <a:graphicData uri="http://schemas.openxmlformats.org/drawingml/2006/picture">
                <pic:pic>
                  <pic:nvPicPr>
                    <pic:cNvPr id="2" name="image8.png"/>
                    <pic:cNvPicPr/>
                  </pic:nvPicPr>
                  <pic:blipFill>
                    <a:blip r:embed="rId12" cstate="print"/>
                    <a:stretch>
                      <a:fillRect/>
                    </a:stretch>
                  </pic:blipFill>
                  <pic:spPr>
                    <a:xfrm>
                      <a:off x="0" y="0"/>
                      <a:ext cx="1478280" cy="612648"/>
                    </a:xfrm>
                    <a:prstGeom prst="rect">
                      <a:avLst/>
                    </a:prstGeom>
                  </pic:spPr>
                </pic:pic>
              </a:graphicData>
            </a:graphic>
          </wp:anchor>
        </w:drawing>
      </w:r>
      <w:r>
        <w:rPr>
          <w:color w:val="385522"/>
        </w:rPr>
        <w:t>meio </w:t>
      </w:r>
      <w:r>
        <w:rPr>
          <w:color w:val="385522"/>
          <w:w w:val="95"/>
        </w:rPr>
        <w:t>ambiente</w:t>
      </w:r>
    </w:p>
    <w:p>
      <w:pPr>
        <w:spacing w:before="60"/>
        <w:ind w:left="455" w:right="0" w:firstLine="0"/>
        <w:jc w:val="left"/>
        <w:rPr>
          <w:rFonts w:ascii="Arial" w:hAnsi="Arial"/>
          <w:sz w:val="22"/>
        </w:rPr>
      </w:pPr>
      <w:r>
        <w:rPr/>
        <w:br w:type="column"/>
      </w:r>
      <w:r>
        <w:rPr>
          <w:rFonts w:ascii="Arial" w:hAnsi="Arial"/>
          <w:color w:val="385522"/>
          <w:sz w:val="22"/>
        </w:rPr>
        <w:t>Plano Municipal de Segurança de Barragens-PMSB</w:t>
      </w:r>
    </w:p>
    <w:p>
      <w:pPr>
        <w:spacing w:after="0"/>
        <w:jc w:val="left"/>
        <w:rPr>
          <w:rFonts w:ascii="Arial" w:hAnsi="Arial"/>
          <w:sz w:val="22"/>
        </w:rPr>
        <w:sectPr>
          <w:type w:val="continuous"/>
          <w:pgSz w:w="11910" w:h="16840"/>
          <w:pgMar w:top="0" w:bottom="280" w:left="0" w:right="0"/>
          <w:cols w:num="2" w:equalWidth="0">
            <w:col w:w="5155" w:space="77"/>
            <w:col w:w="6678"/>
          </w:cols>
        </w:sectPr>
      </w:pPr>
    </w:p>
    <w:p>
      <w:pPr>
        <w:pStyle w:val="BodyText"/>
        <w:rPr>
          <w:rFonts w:ascii="Arial"/>
          <w:sz w:val="20"/>
        </w:rPr>
      </w:pPr>
      <w:r>
        <w:rPr/>
        <w:drawing>
          <wp:anchor distT="0" distB="0" distL="0" distR="0" allowOverlap="1" layoutInCell="1" locked="0" behindDoc="0" simplePos="0" relativeHeight="1192">
            <wp:simplePos x="0" y="0"/>
            <wp:positionH relativeFrom="page">
              <wp:posOffset>288925</wp:posOffset>
            </wp:positionH>
            <wp:positionV relativeFrom="page">
              <wp:posOffset>634</wp:posOffset>
            </wp:positionV>
            <wp:extent cx="474344" cy="10691748"/>
            <wp:effectExtent l="0" t="0" r="0" b="0"/>
            <wp:wrapNone/>
            <wp:docPr id="3" name="image9.png" descr=""/>
            <wp:cNvGraphicFramePr>
              <a:graphicFrameLocks noChangeAspect="1"/>
            </wp:cNvGraphicFramePr>
            <a:graphic>
              <a:graphicData uri="http://schemas.openxmlformats.org/drawingml/2006/picture">
                <pic:pic>
                  <pic:nvPicPr>
                    <pic:cNvPr id="4" name="image9.png"/>
                    <pic:cNvPicPr/>
                  </pic:nvPicPr>
                  <pic:blipFill>
                    <a:blip r:embed="rId13" cstate="print"/>
                    <a:stretch>
                      <a:fillRect/>
                    </a:stretch>
                  </pic:blipFill>
                  <pic:spPr>
                    <a:xfrm>
                      <a:off x="0" y="0"/>
                      <a:ext cx="474344" cy="10691748"/>
                    </a:xfrm>
                    <a:prstGeom prst="rect">
                      <a:avLst/>
                    </a:prstGeom>
                  </pic:spPr>
                </pic:pic>
              </a:graphicData>
            </a:graphic>
          </wp:anchor>
        </w:drawing>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tabs>
          <w:tab w:pos="10235" w:val="left" w:leader="none"/>
        </w:tabs>
        <w:spacing w:before="244"/>
        <w:ind w:left="1673" w:right="0" w:firstLine="0"/>
        <w:jc w:val="left"/>
        <w:rPr>
          <w:b/>
          <w:sz w:val="32"/>
        </w:rPr>
      </w:pPr>
      <w:r>
        <w:rPr>
          <w:b/>
          <w:spacing w:val="4"/>
          <w:w w:val="99"/>
          <w:sz w:val="32"/>
          <w:shd w:fill="D9D9D9" w:color="auto" w:val="clear"/>
        </w:rPr>
        <w:t> </w:t>
      </w:r>
      <w:r>
        <w:rPr>
          <w:b/>
          <w:sz w:val="32"/>
          <w:shd w:fill="D9D9D9" w:color="auto" w:val="clear"/>
        </w:rPr>
        <w:t>SUMÁRIO</w:t>
        <w:tab/>
      </w:r>
    </w:p>
    <w:sdt>
      <w:sdtPr>
        <w:docPartObj>
          <w:docPartGallery w:val="Table of Contents"/>
          <w:docPartUnique/>
        </w:docPartObj>
      </w:sdtPr>
      <w:sdtEndPr/>
      <w:sdtContent>
        <w:p>
          <w:pPr>
            <w:pStyle w:val="TOC1"/>
            <w:numPr>
              <w:ilvl w:val="0"/>
              <w:numId w:val="1"/>
            </w:numPr>
            <w:tabs>
              <w:tab w:pos="2129" w:val="left" w:leader="none"/>
              <w:tab w:pos="2130" w:val="left" w:leader="none"/>
              <w:tab w:pos="10197" w:val="right" w:leader="dot"/>
            </w:tabs>
            <w:spacing w:line="240" w:lineRule="auto" w:before="306" w:after="0"/>
            <w:ind w:left="2129" w:right="0" w:hanging="427"/>
            <w:jc w:val="left"/>
          </w:pPr>
          <w:hyperlink w:history="true" w:anchor="_bookmark0">
            <w:r>
              <w:rPr/>
              <w:t>Introdução.</w:t>
              <w:tab/>
              <w:t>3</w:t>
            </w:r>
          </w:hyperlink>
        </w:p>
        <w:p>
          <w:pPr>
            <w:pStyle w:val="TOC1"/>
            <w:numPr>
              <w:ilvl w:val="0"/>
              <w:numId w:val="1"/>
            </w:numPr>
            <w:tabs>
              <w:tab w:pos="2129" w:val="left" w:leader="none"/>
              <w:tab w:pos="2130" w:val="left" w:leader="none"/>
              <w:tab w:pos="10197" w:val="right" w:leader="dot"/>
            </w:tabs>
            <w:spacing w:line="240" w:lineRule="auto" w:before="119" w:after="0"/>
            <w:ind w:left="2129" w:right="0" w:hanging="427"/>
            <w:jc w:val="left"/>
          </w:pPr>
          <w:hyperlink w:history="true" w:anchor="_bookmark1">
            <w:r>
              <w:rPr/>
              <w:t>Preliminarmente.</w:t>
              <w:tab/>
              <w:t>4</w:t>
            </w:r>
          </w:hyperlink>
        </w:p>
        <w:p>
          <w:pPr>
            <w:pStyle w:val="TOC1"/>
            <w:numPr>
              <w:ilvl w:val="0"/>
              <w:numId w:val="1"/>
            </w:numPr>
            <w:tabs>
              <w:tab w:pos="2129" w:val="left" w:leader="none"/>
              <w:tab w:pos="2130" w:val="left" w:leader="none"/>
              <w:tab w:pos="10197" w:val="right" w:leader="dot"/>
            </w:tabs>
            <w:spacing w:line="240" w:lineRule="auto" w:before="119" w:after="0"/>
            <w:ind w:left="2129" w:right="0" w:hanging="427"/>
            <w:jc w:val="left"/>
          </w:pPr>
          <w:hyperlink w:history="true" w:anchor="_bookmark2">
            <w:r>
              <w:rPr/>
              <w:t>Conhecendo as</w:t>
            </w:r>
            <w:r>
              <w:rPr>
                <w:spacing w:val="-2"/>
              </w:rPr>
              <w:t> </w:t>
            </w:r>
            <w:r>
              <w:rPr/>
              <w:t>barragens</w:t>
              <w:tab/>
              <w:t>6</w:t>
            </w:r>
          </w:hyperlink>
        </w:p>
        <w:p>
          <w:pPr>
            <w:pStyle w:val="TOC2"/>
            <w:numPr>
              <w:ilvl w:val="1"/>
              <w:numId w:val="1"/>
            </w:numPr>
            <w:tabs>
              <w:tab w:pos="2269" w:val="left" w:leader="none"/>
              <w:tab w:pos="10197" w:val="right" w:leader="dot"/>
            </w:tabs>
            <w:spacing w:line="240" w:lineRule="auto" w:before="121" w:after="0"/>
            <w:ind w:left="2268" w:right="0" w:hanging="346"/>
            <w:jc w:val="left"/>
          </w:pPr>
          <w:hyperlink w:history="true" w:anchor="_bookmark3">
            <w:r>
              <w:rPr/>
              <w:t>Do ponto de vista legal, extraímos os</w:t>
            </w:r>
            <w:r>
              <w:rPr>
                <w:spacing w:val="-1"/>
              </w:rPr>
              <w:t> </w:t>
            </w:r>
            <w:r>
              <w:rPr/>
              <w:t>seguintes diplomas</w:t>
              <w:tab/>
              <w:t>6</w:t>
            </w:r>
          </w:hyperlink>
        </w:p>
        <w:p>
          <w:pPr>
            <w:pStyle w:val="TOC2"/>
            <w:numPr>
              <w:ilvl w:val="1"/>
              <w:numId w:val="1"/>
            </w:numPr>
            <w:tabs>
              <w:tab w:pos="2255" w:val="left" w:leader="none"/>
              <w:tab w:pos="10197" w:val="right" w:leader="dot"/>
            </w:tabs>
            <w:spacing w:line="240" w:lineRule="auto" w:before="119" w:after="0"/>
            <w:ind w:left="2254" w:right="0" w:hanging="332"/>
            <w:jc w:val="left"/>
          </w:pPr>
          <w:hyperlink w:history="true" w:anchor="_bookmark4">
            <w:r>
              <w:rPr/>
              <w:t>Do ponto de vista</w:t>
            </w:r>
            <w:r>
              <w:rPr>
                <w:spacing w:val="-3"/>
              </w:rPr>
              <w:t> </w:t>
            </w:r>
            <w:r>
              <w:rPr/>
              <w:t>estrutural</w:t>
            </w:r>
            <w:r>
              <w:rPr>
                <w:spacing w:val="-1"/>
              </w:rPr>
              <w:t> </w:t>
            </w:r>
            <w:r>
              <w:rPr/>
              <w:t>construtivo.</w:t>
              <w:tab/>
              <w:t>8</w:t>
            </w:r>
          </w:hyperlink>
        </w:p>
        <w:p>
          <w:pPr>
            <w:pStyle w:val="TOC1"/>
            <w:numPr>
              <w:ilvl w:val="0"/>
              <w:numId w:val="1"/>
            </w:numPr>
            <w:tabs>
              <w:tab w:pos="2129" w:val="left" w:leader="none"/>
              <w:tab w:pos="2130" w:val="left" w:leader="none"/>
              <w:tab w:pos="10197" w:val="right" w:leader="dot"/>
            </w:tabs>
            <w:spacing w:line="240" w:lineRule="auto" w:before="122" w:after="0"/>
            <w:ind w:left="2129" w:right="0" w:hanging="427"/>
            <w:jc w:val="left"/>
          </w:pPr>
          <w:hyperlink w:history="true" w:anchor="_bookmark5">
            <w:r>
              <w:rPr/>
              <w:t>Barragens que podem</w:t>
            </w:r>
            <w:r>
              <w:rPr>
                <w:spacing w:val="-6"/>
              </w:rPr>
              <w:t> </w:t>
            </w:r>
            <w:r>
              <w:rPr/>
              <w:t>atingir Congonhas.</w:t>
              <w:tab/>
              <w:t>16</w:t>
            </w:r>
          </w:hyperlink>
        </w:p>
        <w:p>
          <w:pPr>
            <w:pStyle w:val="TOC1"/>
            <w:numPr>
              <w:ilvl w:val="0"/>
              <w:numId w:val="1"/>
            </w:numPr>
            <w:tabs>
              <w:tab w:pos="2129" w:val="left" w:leader="none"/>
              <w:tab w:pos="2130" w:val="left" w:leader="none"/>
              <w:tab w:pos="10197" w:val="right" w:leader="dot"/>
            </w:tabs>
            <w:spacing w:line="240" w:lineRule="auto" w:before="119" w:after="0"/>
            <w:ind w:left="2129" w:right="0" w:hanging="427"/>
            <w:jc w:val="left"/>
          </w:pPr>
          <w:hyperlink w:history="true" w:anchor="_bookmark6">
            <w:r>
              <w:rPr/>
              <w:t>Inventário</w:t>
            </w:r>
            <w:r>
              <w:rPr>
                <w:spacing w:val="-3"/>
              </w:rPr>
              <w:t> </w:t>
            </w:r>
            <w:r>
              <w:rPr/>
              <w:t>de acumulação.</w:t>
              <w:tab/>
              <w:t>20</w:t>
            </w:r>
          </w:hyperlink>
        </w:p>
        <w:p>
          <w:pPr>
            <w:pStyle w:val="TOC1"/>
            <w:numPr>
              <w:ilvl w:val="0"/>
              <w:numId w:val="1"/>
            </w:numPr>
            <w:tabs>
              <w:tab w:pos="2129" w:val="left" w:leader="none"/>
              <w:tab w:pos="2130" w:val="left" w:leader="none"/>
              <w:tab w:pos="10197" w:val="right" w:leader="dot"/>
            </w:tabs>
            <w:spacing w:line="240" w:lineRule="auto" w:before="119" w:after="0"/>
            <w:ind w:left="2129" w:right="0" w:hanging="427"/>
            <w:jc w:val="left"/>
          </w:pPr>
          <w:hyperlink w:history="true" w:anchor="_bookmark7">
            <w:r>
              <w:rPr/>
              <w:t>Considerações</w:t>
            </w:r>
            <w:r>
              <w:rPr>
                <w:spacing w:val="-3"/>
              </w:rPr>
              <w:t> </w:t>
            </w:r>
            <w:r>
              <w:rPr/>
              <w:t>importantes.</w:t>
              <w:tab/>
              <w:t>22</w:t>
            </w:r>
          </w:hyperlink>
        </w:p>
        <w:p>
          <w:pPr>
            <w:pStyle w:val="TOC1"/>
            <w:numPr>
              <w:ilvl w:val="0"/>
              <w:numId w:val="1"/>
            </w:numPr>
            <w:tabs>
              <w:tab w:pos="2129" w:val="left" w:leader="none"/>
              <w:tab w:pos="2130" w:val="left" w:leader="none"/>
              <w:tab w:pos="10197" w:val="right" w:leader="dot"/>
            </w:tabs>
            <w:spacing w:line="240" w:lineRule="auto" w:before="122" w:after="0"/>
            <w:ind w:left="2129" w:right="0" w:hanging="427"/>
            <w:jc w:val="left"/>
          </w:pPr>
          <w:hyperlink w:history="true" w:anchor="_bookmark8">
            <w:r>
              <w:rPr/>
              <w:t>Histórico</w:t>
            </w:r>
            <w:r>
              <w:rPr>
                <w:spacing w:val="-1"/>
              </w:rPr>
              <w:t> </w:t>
            </w:r>
            <w:r>
              <w:rPr/>
              <w:t>de</w:t>
            </w:r>
            <w:r>
              <w:rPr>
                <w:spacing w:val="-2"/>
              </w:rPr>
              <w:t> </w:t>
            </w:r>
            <w:r>
              <w:rPr/>
              <w:t>rupturas</w:t>
              <w:tab/>
              <w:t>26</w:t>
            </w:r>
          </w:hyperlink>
        </w:p>
        <w:p>
          <w:pPr>
            <w:pStyle w:val="TOC1"/>
            <w:numPr>
              <w:ilvl w:val="0"/>
              <w:numId w:val="1"/>
            </w:numPr>
            <w:tabs>
              <w:tab w:pos="2129" w:val="left" w:leader="none"/>
              <w:tab w:pos="2130" w:val="left" w:leader="none"/>
              <w:tab w:pos="10197" w:val="right" w:leader="dot"/>
            </w:tabs>
            <w:spacing w:line="240" w:lineRule="auto" w:before="119" w:after="0"/>
            <w:ind w:left="2129" w:right="0" w:hanging="427"/>
            <w:jc w:val="left"/>
          </w:pPr>
          <w:hyperlink w:history="true" w:anchor="_bookmark9">
            <w:r>
              <w:rPr/>
              <w:t>Mapeamento das áreas</w:t>
            </w:r>
            <w:r>
              <w:rPr>
                <w:spacing w:val="-3"/>
              </w:rPr>
              <w:t> </w:t>
            </w:r>
            <w:r>
              <w:rPr/>
              <w:t>de inundação.</w:t>
              <w:tab/>
              <w:t>33</w:t>
            </w:r>
          </w:hyperlink>
        </w:p>
        <w:p>
          <w:pPr>
            <w:pStyle w:val="TOC1"/>
            <w:numPr>
              <w:ilvl w:val="0"/>
              <w:numId w:val="1"/>
            </w:numPr>
            <w:tabs>
              <w:tab w:pos="2129" w:val="left" w:leader="none"/>
              <w:tab w:pos="2130" w:val="left" w:leader="none"/>
              <w:tab w:pos="10197" w:val="right" w:leader="dot"/>
            </w:tabs>
            <w:spacing w:line="240" w:lineRule="auto" w:before="121" w:after="0"/>
            <w:ind w:left="2129" w:right="0" w:hanging="427"/>
            <w:jc w:val="left"/>
          </w:pPr>
          <w:hyperlink w:history="true" w:anchor="_bookmark10">
            <w:r>
              <w:rPr/>
              <w:t>Cenários em áreas urbanas</w:t>
            </w:r>
            <w:r>
              <w:rPr>
                <w:spacing w:val="-8"/>
              </w:rPr>
              <w:t> </w:t>
            </w:r>
            <w:r>
              <w:rPr/>
              <w:t>-</w:t>
            </w:r>
            <w:r>
              <w:rPr>
                <w:spacing w:val="-2"/>
              </w:rPr>
              <w:t> </w:t>
            </w:r>
            <w:r>
              <w:rPr/>
              <w:t>Congonhas/MG.</w:t>
              <w:tab/>
              <w:t>34</w:t>
            </w:r>
          </w:hyperlink>
        </w:p>
        <w:p>
          <w:pPr>
            <w:pStyle w:val="TOC1"/>
            <w:numPr>
              <w:ilvl w:val="0"/>
              <w:numId w:val="1"/>
            </w:numPr>
            <w:tabs>
              <w:tab w:pos="2130" w:val="left" w:leader="none"/>
              <w:tab w:pos="10197" w:val="right" w:leader="dot"/>
            </w:tabs>
            <w:spacing w:line="240" w:lineRule="auto" w:before="119" w:after="0"/>
            <w:ind w:left="2129" w:right="0" w:hanging="427"/>
            <w:jc w:val="left"/>
          </w:pPr>
          <w:hyperlink w:history="true" w:anchor="_bookmark11">
            <w:r>
              <w:rPr/>
              <w:t>Conclusão.</w:t>
              <w:tab/>
              <w:t>40</w:t>
            </w:r>
          </w:hyperlink>
        </w:p>
      </w:sdtContent>
    </w:sdt>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12"/>
        </w:rPr>
      </w:pPr>
      <w:r>
        <w:rPr/>
        <w:pict>
          <v:shape style="position:absolute;margin-left:475.660004pt;margin-top:8.208364pt;width:40.450pt;height:55.95pt;mso-position-horizontal-relative:page;mso-position-vertical-relative:paragraph;z-index:-904;mso-wrap-distance-left:0;mso-wrap-distance-right:0" type="#_x0000_t202" filled="true" fillcolor="#6fac46" stroked="false">
            <v:textbox inset="0,0,0,0">
              <w:txbxContent>
                <w:p>
                  <w:pPr>
                    <w:spacing w:before="344"/>
                    <w:ind w:left="0" w:right="0" w:firstLine="0"/>
                    <w:jc w:val="center"/>
                    <w:rPr>
                      <w:rFonts w:ascii="Arial"/>
                      <w:sz w:val="36"/>
                    </w:rPr>
                  </w:pPr>
                  <w:r>
                    <w:rPr>
                      <w:rFonts w:ascii="Arial"/>
                      <w:color w:val="FFFFFF"/>
                      <w:w w:val="91"/>
                      <w:sz w:val="36"/>
                    </w:rPr>
                    <w:t>2</w:t>
                  </w:r>
                </w:p>
              </w:txbxContent>
            </v:textbox>
            <v:fill type="solid"/>
            <w10:wrap type="topAndBottom"/>
          </v:shape>
        </w:pict>
      </w:r>
    </w:p>
    <w:p>
      <w:pPr>
        <w:spacing w:after="0"/>
        <w:rPr>
          <w:sz w:val="12"/>
        </w:rPr>
        <w:sectPr>
          <w:type w:val="continuous"/>
          <w:pgSz w:w="11910" w:h="16840"/>
          <w:pgMar w:top="0" w:bottom="280" w:left="0" w:right="0"/>
        </w:sectPr>
      </w:pPr>
    </w:p>
    <w:p>
      <w:pPr>
        <w:pStyle w:val="BodyText"/>
        <w:rPr>
          <w:sz w:val="20"/>
        </w:rPr>
      </w:pPr>
    </w:p>
    <w:p>
      <w:pPr>
        <w:pStyle w:val="BodyText"/>
        <w:rPr>
          <w:sz w:val="20"/>
        </w:rPr>
      </w:pPr>
    </w:p>
    <w:p>
      <w:pPr>
        <w:pStyle w:val="BodyText"/>
        <w:spacing w:before="1"/>
        <w:rPr>
          <w:sz w:val="18"/>
        </w:rPr>
      </w:pPr>
    </w:p>
    <w:p>
      <w:pPr>
        <w:spacing w:after="0"/>
        <w:rPr>
          <w:sz w:val="18"/>
        </w:rPr>
        <w:sectPr>
          <w:pgSz w:w="11910" w:h="16840"/>
          <w:pgMar w:top="0" w:bottom="0" w:left="0" w:right="0"/>
        </w:sectPr>
      </w:pPr>
    </w:p>
    <w:p>
      <w:pPr>
        <w:pStyle w:val="Heading1"/>
        <w:spacing w:line="172" w:lineRule="auto"/>
      </w:pPr>
      <w:r>
        <w:rPr/>
        <w:drawing>
          <wp:anchor distT="0" distB="0" distL="0" distR="0" allowOverlap="1" layoutInCell="1" locked="0" behindDoc="0" simplePos="0" relativeHeight="1264">
            <wp:simplePos x="0" y="0"/>
            <wp:positionH relativeFrom="page">
              <wp:posOffset>979932</wp:posOffset>
            </wp:positionH>
            <wp:positionV relativeFrom="paragraph">
              <wp:posOffset>-9589</wp:posOffset>
            </wp:positionV>
            <wp:extent cx="1478280" cy="612648"/>
            <wp:effectExtent l="0" t="0" r="0" b="0"/>
            <wp:wrapNone/>
            <wp:docPr id="5" name="image8.png" descr=""/>
            <wp:cNvGraphicFramePr>
              <a:graphicFrameLocks noChangeAspect="1"/>
            </wp:cNvGraphicFramePr>
            <a:graphic>
              <a:graphicData uri="http://schemas.openxmlformats.org/drawingml/2006/picture">
                <pic:pic>
                  <pic:nvPicPr>
                    <pic:cNvPr id="6" name="image8.png"/>
                    <pic:cNvPicPr/>
                  </pic:nvPicPr>
                  <pic:blipFill>
                    <a:blip r:embed="rId12" cstate="print"/>
                    <a:stretch>
                      <a:fillRect/>
                    </a:stretch>
                  </pic:blipFill>
                  <pic:spPr>
                    <a:xfrm>
                      <a:off x="0" y="0"/>
                      <a:ext cx="1478280" cy="612648"/>
                    </a:xfrm>
                    <a:prstGeom prst="rect">
                      <a:avLst/>
                    </a:prstGeom>
                  </pic:spPr>
                </pic:pic>
              </a:graphicData>
            </a:graphic>
          </wp:anchor>
        </w:drawing>
      </w:r>
      <w:r>
        <w:rPr>
          <w:color w:val="385522"/>
        </w:rPr>
        <w:t>meio </w:t>
      </w:r>
      <w:r>
        <w:rPr>
          <w:color w:val="385522"/>
          <w:w w:val="95"/>
        </w:rPr>
        <w:t>ambiente</w:t>
      </w:r>
    </w:p>
    <w:p>
      <w:pPr>
        <w:spacing w:before="60"/>
        <w:ind w:left="455" w:right="0" w:firstLine="0"/>
        <w:jc w:val="left"/>
        <w:rPr>
          <w:rFonts w:ascii="Arial" w:hAnsi="Arial"/>
          <w:sz w:val="22"/>
        </w:rPr>
      </w:pPr>
      <w:r>
        <w:rPr/>
        <w:br w:type="column"/>
      </w:r>
      <w:r>
        <w:rPr>
          <w:rFonts w:ascii="Arial" w:hAnsi="Arial"/>
          <w:color w:val="385522"/>
          <w:sz w:val="22"/>
        </w:rPr>
        <w:t>Plano Municipal de Segurança de Barragens-PMSB</w:t>
      </w:r>
    </w:p>
    <w:p>
      <w:pPr>
        <w:spacing w:after="0"/>
        <w:jc w:val="left"/>
        <w:rPr>
          <w:rFonts w:ascii="Arial" w:hAnsi="Arial"/>
          <w:sz w:val="22"/>
        </w:rPr>
        <w:sectPr>
          <w:type w:val="continuous"/>
          <w:pgSz w:w="11910" w:h="16840"/>
          <w:pgMar w:top="0" w:bottom="280" w:left="0" w:right="0"/>
          <w:cols w:num="2" w:equalWidth="0">
            <w:col w:w="5155" w:space="77"/>
            <w:col w:w="6678"/>
          </w:cols>
        </w:sectPr>
      </w:pPr>
    </w:p>
    <w:p>
      <w:pPr>
        <w:pStyle w:val="BodyText"/>
        <w:rPr>
          <w:rFonts w:ascii="Arial"/>
          <w:sz w:val="20"/>
        </w:rPr>
      </w:pPr>
      <w:r>
        <w:rPr/>
        <w:drawing>
          <wp:anchor distT="0" distB="0" distL="0" distR="0" allowOverlap="1" layoutInCell="1" locked="0" behindDoc="0" simplePos="0" relativeHeight="1288">
            <wp:simplePos x="0" y="0"/>
            <wp:positionH relativeFrom="page">
              <wp:posOffset>288925</wp:posOffset>
            </wp:positionH>
            <wp:positionV relativeFrom="page">
              <wp:posOffset>634</wp:posOffset>
            </wp:positionV>
            <wp:extent cx="474344" cy="10691748"/>
            <wp:effectExtent l="0" t="0" r="0" b="0"/>
            <wp:wrapNone/>
            <wp:docPr id="7" name="image9.png" descr=""/>
            <wp:cNvGraphicFramePr>
              <a:graphicFrameLocks noChangeAspect="1"/>
            </wp:cNvGraphicFramePr>
            <a:graphic>
              <a:graphicData uri="http://schemas.openxmlformats.org/drawingml/2006/picture">
                <pic:pic>
                  <pic:nvPicPr>
                    <pic:cNvPr id="8" name="image9.png"/>
                    <pic:cNvPicPr/>
                  </pic:nvPicPr>
                  <pic:blipFill>
                    <a:blip r:embed="rId13" cstate="print"/>
                    <a:stretch>
                      <a:fillRect/>
                    </a:stretch>
                  </pic:blipFill>
                  <pic:spPr>
                    <a:xfrm>
                      <a:off x="0" y="0"/>
                      <a:ext cx="474344" cy="10691748"/>
                    </a:xfrm>
                    <a:prstGeom prst="rect">
                      <a:avLst/>
                    </a:prstGeom>
                  </pic:spPr>
                </pic:pic>
              </a:graphicData>
            </a:graphic>
          </wp:anchor>
        </w:drawing>
      </w:r>
    </w:p>
    <w:p>
      <w:pPr>
        <w:pStyle w:val="BodyText"/>
        <w:rPr>
          <w:rFonts w:ascii="Arial"/>
          <w:sz w:val="20"/>
        </w:rPr>
      </w:pPr>
    </w:p>
    <w:p>
      <w:pPr>
        <w:pStyle w:val="BodyText"/>
        <w:spacing w:before="11"/>
        <w:rPr>
          <w:rFonts w:ascii="Arial"/>
          <w:sz w:val="22"/>
        </w:rPr>
      </w:pPr>
    </w:p>
    <w:p>
      <w:pPr>
        <w:pStyle w:val="Heading3"/>
        <w:numPr>
          <w:ilvl w:val="0"/>
          <w:numId w:val="2"/>
        </w:numPr>
        <w:tabs>
          <w:tab w:pos="2346" w:val="left" w:leader="none"/>
        </w:tabs>
        <w:spacing w:line="240" w:lineRule="auto" w:before="0" w:after="0"/>
        <w:ind w:left="2345" w:right="0" w:hanging="360"/>
        <w:jc w:val="left"/>
      </w:pPr>
      <w:bookmarkStart w:name="_bookmark0" w:id="1"/>
      <w:bookmarkEnd w:id="1"/>
      <w:r>
        <w:rPr>
          <w:b w:val="0"/>
        </w:rPr>
      </w:r>
      <w:bookmarkStart w:name="_bookmark0" w:id="2"/>
      <w:bookmarkEnd w:id="2"/>
      <w:r>
        <w:rPr/>
        <w:t>INTRODU</w:t>
      </w:r>
      <w:r>
        <w:rPr/>
        <w:t>ÇÃO.</w:t>
      </w:r>
    </w:p>
    <w:p>
      <w:pPr>
        <w:pStyle w:val="BodyText"/>
        <w:rPr>
          <w:b/>
          <w:sz w:val="26"/>
        </w:rPr>
      </w:pPr>
    </w:p>
    <w:p>
      <w:pPr>
        <w:pStyle w:val="BodyText"/>
        <w:spacing w:line="360" w:lineRule="auto" w:before="195"/>
        <w:ind w:left="1702" w:right="1697"/>
        <w:jc w:val="both"/>
      </w:pPr>
      <w:r>
        <w:rPr/>
        <w:t>Apesar da responsabilidade originária da ANM - Agência Nacional de Mineração</w:t>
      </w:r>
      <w:r>
        <w:rPr>
          <w:vertAlign w:val="superscript"/>
        </w:rPr>
        <w:t>1</w:t>
      </w:r>
      <w:r>
        <w:rPr>
          <w:vertAlign w:val="baseline"/>
        </w:rPr>
        <w:t> (barragens de rejeito) e da ANA - Agência Nacional das Águas (barragens de água), as questões que envolvem monitoramento, fiscalização e segurança das barragens merecem atenção especial por parte dos municípios, onde de fato estas estruturas se localizam e exercem influencia</w:t>
      </w:r>
      <w:r>
        <w:rPr>
          <w:spacing w:val="-1"/>
          <w:vertAlign w:val="baseline"/>
        </w:rPr>
        <w:t> </w:t>
      </w:r>
      <w:r>
        <w:rPr>
          <w:vertAlign w:val="baseline"/>
        </w:rPr>
        <w:t>direta.</w:t>
      </w:r>
    </w:p>
    <w:p>
      <w:pPr>
        <w:pStyle w:val="BodyText"/>
        <w:spacing w:before="9"/>
        <w:rPr>
          <w:sz w:val="20"/>
        </w:rPr>
      </w:pPr>
    </w:p>
    <w:p>
      <w:pPr>
        <w:pStyle w:val="BodyText"/>
        <w:spacing w:line="360" w:lineRule="auto"/>
        <w:ind w:left="1702" w:right="1696"/>
        <w:jc w:val="both"/>
      </w:pPr>
      <w:r>
        <w:rPr/>
        <w:t>Neste sentido, a Prefeitura de Congonhas, por intermédio da Secretaria Municipal de Meio Ambiente – SEMMA propôs uma análise criteriosa das estruturas que estão localizadas no município ou a ele podendo afetar. O tema é de relevante interesse público e cada vez mais crescente junto a preocupação que se estabeleceu em torno do assunto, após as rupturas ocorridas recentemente e consequentes danos que têm sido verificados nos últimos anos, suscitando dúvidas e incerteza em relação à estabilidade das estruturas, segurança e modo de lidar com os desafios que insurgem.</w:t>
      </w:r>
    </w:p>
    <w:p>
      <w:pPr>
        <w:pStyle w:val="BodyText"/>
        <w:spacing w:before="1"/>
        <w:rPr>
          <w:sz w:val="21"/>
        </w:rPr>
      </w:pPr>
    </w:p>
    <w:p>
      <w:pPr>
        <w:pStyle w:val="BodyText"/>
        <w:spacing w:line="360" w:lineRule="auto"/>
        <w:ind w:left="1702" w:right="1695"/>
        <w:jc w:val="both"/>
      </w:pPr>
      <w:r>
        <w:rPr/>
        <w:t>Com isto, não há como ficar à espera de soluções ou garantias por parte dos demais entes, se prostrando na condição de mero espectador, restando, pois, ao município, assumir um papel delegado pela nossa Carta Magna, de protagonista na defesa da ordem e da garantia da segurança e dos interesses da população local.</w:t>
      </w:r>
    </w:p>
    <w:p>
      <w:pPr>
        <w:pStyle w:val="BodyText"/>
        <w:spacing w:before="10"/>
        <w:rPr>
          <w:sz w:val="20"/>
        </w:rPr>
      </w:pPr>
    </w:p>
    <w:p>
      <w:pPr>
        <w:pStyle w:val="BodyText"/>
        <w:spacing w:line="360" w:lineRule="auto"/>
        <w:ind w:left="1702" w:right="1696"/>
        <w:jc w:val="both"/>
      </w:pPr>
      <w:r>
        <w:rPr/>
        <w:t>Desta forma, surgiu a proposta de construir de forma supletiva e complementar às de responsabilidades diversas, um </w:t>
      </w:r>
      <w:r>
        <w:rPr>
          <w:b/>
        </w:rPr>
        <w:t>Plano Municipal de Segurança das Barragens - PMSB</w:t>
      </w:r>
      <w:r>
        <w:rPr/>
        <w:t>, com objetivo principal de promover a máxima segurança para as comunidades que convivem diretamente sob os riscos e influenciais destas estruturas. Neste sentido também corrobora um melhor conhecimento de questões para elaboração adequada de um </w:t>
      </w:r>
      <w:r>
        <w:rPr>
          <w:b/>
        </w:rPr>
        <w:t>Plano de Contingência Municipal</w:t>
      </w:r>
      <w:r>
        <w:rPr/>
        <w:t>, que vem a ser o principal instrumento para enfrentamento de riscos e desastres por parte das autoridades municipais.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8"/>
        </w:rPr>
      </w:pPr>
      <w:r>
        <w:rPr/>
        <w:pict>
          <v:line style="position:absolute;mso-position-horizontal-relative:page;mso-position-vertical-relative:paragraph;z-index:-832;mso-wrap-distance-left:0;mso-wrap-distance-right:0" from="85.103996pt,18.769545pt" to="229.123996pt,18.769545pt" stroked="true" strokeweight=".72003pt" strokecolor="#000000">
            <v:stroke dashstyle="solid"/>
            <w10:wrap type="topAndBottom"/>
          </v:line>
        </w:pict>
      </w:r>
    </w:p>
    <w:p>
      <w:pPr>
        <w:spacing w:line="254" w:lineRule="auto" w:before="41"/>
        <w:ind w:left="1702" w:right="1817" w:firstLine="0"/>
        <w:jc w:val="left"/>
        <w:rPr>
          <w:rFonts w:ascii="Arial" w:hAnsi="Arial"/>
          <w:sz w:val="20"/>
        </w:rPr>
      </w:pPr>
      <w:r>
        <w:rPr>
          <w:rFonts w:ascii="Arial" w:hAnsi="Arial"/>
          <w:w w:val="95"/>
          <w:position w:val="10"/>
          <w:sz w:val="13"/>
        </w:rPr>
        <w:t>1</w:t>
      </w:r>
      <w:r>
        <w:rPr>
          <w:rFonts w:ascii="Arial" w:hAnsi="Arial"/>
          <w:spacing w:val="-6"/>
          <w:w w:val="95"/>
          <w:position w:val="10"/>
          <w:sz w:val="13"/>
        </w:rPr>
        <w:t> </w:t>
      </w:r>
      <w:r>
        <w:rPr>
          <w:rFonts w:ascii="Arial" w:hAnsi="Arial"/>
          <w:w w:val="95"/>
          <w:sz w:val="20"/>
        </w:rPr>
        <w:t>Criada</w:t>
      </w:r>
      <w:r>
        <w:rPr>
          <w:rFonts w:ascii="Arial" w:hAnsi="Arial"/>
          <w:spacing w:val="-23"/>
          <w:w w:val="95"/>
          <w:sz w:val="20"/>
        </w:rPr>
        <w:t> </w:t>
      </w:r>
      <w:r>
        <w:rPr>
          <w:rFonts w:ascii="Arial" w:hAnsi="Arial"/>
          <w:w w:val="95"/>
          <w:sz w:val="20"/>
        </w:rPr>
        <w:t>pela</w:t>
      </w:r>
      <w:r>
        <w:rPr>
          <w:rFonts w:ascii="Arial" w:hAnsi="Arial"/>
          <w:spacing w:val="-23"/>
          <w:w w:val="95"/>
          <w:sz w:val="20"/>
        </w:rPr>
        <w:t> </w:t>
      </w:r>
      <w:r>
        <w:rPr>
          <w:rFonts w:ascii="Arial" w:hAnsi="Arial"/>
          <w:w w:val="95"/>
          <w:sz w:val="20"/>
        </w:rPr>
        <w:t>lei</w:t>
      </w:r>
      <w:r>
        <w:rPr>
          <w:rFonts w:ascii="Arial" w:hAnsi="Arial"/>
          <w:spacing w:val="-24"/>
          <w:w w:val="95"/>
          <w:sz w:val="20"/>
        </w:rPr>
        <w:t> </w:t>
      </w:r>
      <w:r>
        <w:rPr>
          <w:rFonts w:ascii="Arial" w:hAnsi="Arial"/>
          <w:w w:val="95"/>
          <w:sz w:val="20"/>
        </w:rPr>
        <w:t>13.575/17,</w:t>
      </w:r>
      <w:r>
        <w:rPr>
          <w:rFonts w:ascii="Arial" w:hAnsi="Arial"/>
          <w:spacing w:val="-23"/>
          <w:w w:val="95"/>
          <w:sz w:val="20"/>
        </w:rPr>
        <w:t> </w:t>
      </w:r>
      <w:r>
        <w:rPr>
          <w:rFonts w:ascii="Arial" w:hAnsi="Arial"/>
          <w:w w:val="95"/>
          <w:sz w:val="20"/>
        </w:rPr>
        <w:t>a</w:t>
      </w:r>
      <w:r>
        <w:rPr>
          <w:rFonts w:ascii="Arial" w:hAnsi="Arial"/>
          <w:spacing w:val="-22"/>
          <w:w w:val="95"/>
          <w:sz w:val="20"/>
        </w:rPr>
        <w:t> </w:t>
      </w:r>
      <w:r>
        <w:rPr>
          <w:rFonts w:ascii="Arial" w:hAnsi="Arial"/>
          <w:w w:val="95"/>
          <w:sz w:val="20"/>
        </w:rPr>
        <w:t>ANM</w:t>
      </w:r>
      <w:r>
        <w:rPr>
          <w:rFonts w:ascii="Arial" w:hAnsi="Arial"/>
          <w:spacing w:val="-23"/>
          <w:w w:val="95"/>
          <w:sz w:val="20"/>
        </w:rPr>
        <w:t> </w:t>
      </w:r>
      <w:r>
        <w:rPr>
          <w:rFonts w:ascii="Arial" w:hAnsi="Arial"/>
          <w:w w:val="95"/>
          <w:sz w:val="20"/>
        </w:rPr>
        <w:t>-</w:t>
      </w:r>
      <w:r>
        <w:rPr>
          <w:rFonts w:ascii="Arial" w:hAnsi="Arial"/>
          <w:spacing w:val="-24"/>
          <w:w w:val="95"/>
          <w:sz w:val="20"/>
        </w:rPr>
        <w:t> </w:t>
      </w:r>
      <w:r>
        <w:rPr>
          <w:rFonts w:ascii="Arial" w:hAnsi="Arial"/>
          <w:w w:val="95"/>
          <w:sz w:val="20"/>
        </w:rPr>
        <w:t>Agência</w:t>
      </w:r>
      <w:r>
        <w:rPr>
          <w:rFonts w:ascii="Arial" w:hAnsi="Arial"/>
          <w:spacing w:val="-24"/>
          <w:w w:val="95"/>
          <w:sz w:val="20"/>
        </w:rPr>
        <w:t> </w:t>
      </w:r>
      <w:r>
        <w:rPr>
          <w:rFonts w:ascii="Arial" w:hAnsi="Arial"/>
          <w:w w:val="95"/>
          <w:sz w:val="20"/>
        </w:rPr>
        <w:t>Nacional</w:t>
      </w:r>
      <w:r>
        <w:rPr>
          <w:rFonts w:ascii="Arial" w:hAnsi="Arial"/>
          <w:spacing w:val="-23"/>
          <w:w w:val="95"/>
          <w:sz w:val="20"/>
        </w:rPr>
        <w:t> </w:t>
      </w:r>
      <w:r>
        <w:rPr>
          <w:rFonts w:ascii="Arial" w:hAnsi="Arial"/>
          <w:w w:val="95"/>
          <w:sz w:val="20"/>
        </w:rPr>
        <w:t>de</w:t>
      </w:r>
      <w:r>
        <w:rPr>
          <w:rFonts w:ascii="Arial" w:hAnsi="Arial"/>
          <w:spacing w:val="-25"/>
          <w:w w:val="95"/>
          <w:sz w:val="20"/>
        </w:rPr>
        <w:t> </w:t>
      </w:r>
      <w:r>
        <w:rPr>
          <w:rFonts w:ascii="Arial" w:hAnsi="Arial"/>
          <w:w w:val="95"/>
          <w:sz w:val="20"/>
        </w:rPr>
        <w:t>Mineração</w:t>
      </w:r>
      <w:r>
        <w:rPr>
          <w:rFonts w:ascii="Arial" w:hAnsi="Arial"/>
          <w:spacing w:val="-23"/>
          <w:w w:val="95"/>
          <w:sz w:val="20"/>
        </w:rPr>
        <w:t> </w:t>
      </w:r>
      <w:r>
        <w:rPr>
          <w:rFonts w:ascii="Arial" w:hAnsi="Arial"/>
          <w:w w:val="95"/>
          <w:sz w:val="20"/>
        </w:rPr>
        <w:t>substitui</w:t>
      </w:r>
      <w:r>
        <w:rPr>
          <w:rFonts w:ascii="Arial" w:hAnsi="Arial"/>
          <w:spacing w:val="-24"/>
          <w:w w:val="95"/>
          <w:sz w:val="20"/>
        </w:rPr>
        <w:t> </w:t>
      </w:r>
      <w:r>
        <w:rPr>
          <w:rFonts w:ascii="Arial" w:hAnsi="Arial"/>
          <w:w w:val="95"/>
          <w:sz w:val="20"/>
        </w:rPr>
        <w:t>o</w:t>
      </w:r>
      <w:r>
        <w:rPr>
          <w:rFonts w:ascii="Arial" w:hAnsi="Arial"/>
          <w:spacing w:val="-23"/>
          <w:w w:val="95"/>
          <w:sz w:val="20"/>
        </w:rPr>
        <w:t> </w:t>
      </w:r>
      <w:r>
        <w:rPr>
          <w:rFonts w:ascii="Arial" w:hAnsi="Arial"/>
          <w:w w:val="95"/>
          <w:sz w:val="20"/>
        </w:rPr>
        <w:t>DNPM</w:t>
      </w:r>
      <w:r>
        <w:rPr>
          <w:rFonts w:ascii="Arial" w:hAnsi="Arial"/>
          <w:spacing w:val="-21"/>
          <w:w w:val="95"/>
          <w:sz w:val="20"/>
        </w:rPr>
        <w:t> </w:t>
      </w:r>
      <w:r>
        <w:rPr>
          <w:rFonts w:ascii="Arial" w:hAnsi="Arial"/>
          <w:w w:val="95"/>
          <w:sz w:val="20"/>
        </w:rPr>
        <w:t>-</w:t>
      </w:r>
      <w:r>
        <w:rPr>
          <w:rFonts w:ascii="Arial" w:hAnsi="Arial"/>
          <w:spacing w:val="-24"/>
          <w:w w:val="95"/>
          <w:sz w:val="20"/>
        </w:rPr>
        <w:t> </w:t>
      </w:r>
      <w:r>
        <w:rPr>
          <w:rFonts w:ascii="Arial" w:hAnsi="Arial"/>
          <w:w w:val="95"/>
          <w:sz w:val="20"/>
        </w:rPr>
        <w:t>Departamento </w:t>
      </w:r>
      <w:r>
        <w:rPr>
          <w:rFonts w:ascii="Arial" w:hAnsi="Arial"/>
          <w:sz w:val="20"/>
        </w:rPr>
        <w:t>Nacional</w:t>
      </w:r>
      <w:r>
        <w:rPr>
          <w:rFonts w:ascii="Arial" w:hAnsi="Arial"/>
          <w:spacing w:val="-22"/>
          <w:sz w:val="20"/>
        </w:rPr>
        <w:t> </w:t>
      </w:r>
      <w:r>
        <w:rPr>
          <w:rFonts w:ascii="Arial" w:hAnsi="Arial"/>
          <w:sz w:val="20"/>
        </w:rPr>
        <w:t>de</w:t>
      </w:r>
      <w:r>
        <w:rPr>
          <w:rFonts w:ascii="Arial" w:hAnsi="Arial"/>
          <w:spacing w:val="-23"/>
          <w:sz w:val="20"/>
        </w:rPr>
        <w:t> </w:t>
      </w:r>
      <w:r>
        <w:rPr>
          <w:rFonts w:ascii="Arial" w:hAnsi="Arial"/>
          <w:sz w:val="20"/>
        </w:rPr>
        <w:t>Produção</w:t>
      </w:r>
      <w:r>
        <w:rPr>
          <w:rFonts w:ascii="Arial" w:hAnsi="Arial"/>
          <w:spacing w:val="-22"/>
          <w:sz w:val="20"/>
        </w:rPr>
        <w:t> </w:t>
      </w:r>
      <w:r>
        <w:rPr>
          <w:rFonts w:ascii="Arial" w:hAnsi="Arial"/>
          <w:sz w:val="20"/>
        </w:rPr>
        <w:t>Mineral</w:t>
      </w:r>
      <w:r>
        <w:rPr>
          <w:rFonts w:ascii="Arial" w:hAnsi="Arial"/>
          <w:spacing w:val="-23"/>
          <w:sz w:val="20"/>
        </w:rPr>
        <w:t> </w:t>
      </w:r>
      <w:r>
        <w:rPr>
          <w:rFonts w:ascii="Arial" w:hAnsi="Arial"/>
          <w:sz w:val="20"/>
        </w:rPr>
        <w:t>na</w:t>
      </w:r>
      <w:r>
        <w:rPr>
          <w:rFonts w:ascii="Arial" w:hAnsi="Arial"/>
          <w:spacing w:val="-21"/>
          <w:sz w:val="20"/>
        </w:rPr>
        <w:t> </w:t>
      </w:r>
      <w:r>
        <w:rPr>
          <w:rFonts w:ascii="Arial" w:hAnsi="Arial"/>
          <w:sz w:val="20"/>
        </w:rPr>
        <w:t>regulação</w:t>
      </w:r>
      <w:r>
        <w:rPr>
          <w:rFonts w:ascii="Arial" w:hAnsi="Arial"/>
          <w:spacing w:val="-23"/>
          <w:sz w:val="20"/>
        </w:rPr>
        <w:t> </w:t>
      </w:r>
      <w:r>
        <w:rPr>
          <w:rFonts w:ascii="Arial" w:hAnsi="Arial"/>
          <w:sz w:val="20"/>
        </w:rPr>
        <w:t>e</w:t>
      </w:r>
      <w:r>
        <w:rPr>
          <w:rFonts w:ascii="Arial" w:hAnsi="Arial"/>
          <w:spacing w:val="-22"/>
          <w:sz w:val="20"/>
        </w:rPr>
        <w:t> </w:t>
      </w:r>
      <w:r>
        <w:rPr>
          <w:rFonts w:ascii="Arial" w:hAnsi="Arial"/>
          <w:sz w:val="20"/>
        </w:rPr>
        <w:t>fiscalização</w:t>
      </w:r>
      <w:r>
        <w:rPr>
          <w:rFonts w:ascii="Arial" w:hAnsi="Arial"/>
          <w:spacing w:val="-22"/>
          <w:sz w:val="20"/>
        </w:rPr>
        <w:t> </w:t>
      </w:r>
      <w:r>
        <w:rPr>
          <w:rFonts w:ascii="Arial" w:hAnsi="Arial"/>
          <w:sz w:val="20"/>
        </w:rPr>
        <w:t>do</w:t>
      </w:r>
      <w:r>
        <w:rPr>
          <w:rFonts w:ascii="Arial" w:hAnsi="Arial"/>
          <w:spacing w:val="-23"/>
          <w:sz w:val="20"/>
        </w:rPr>
        <w:t> </w:t>
      </w:r>
      <w:r>
        <w:rPr>
          <w:rFonts w:ascii="Arial" w:hAnsi="Arial"/>
          <w:sz w:val="20"/>
        </w:rPr>
        <w:t>setor</w:t>
      </w:r>
      <w:r>
        <w:rPr>
          <w:rFonts w:ascii="Arial" w:hAnsi="Arial"/>
          <w:spacing w:val="-21"/>
          <w:sz w:val="20"/>
        </w:rPr>
        <w:t> </w:t>
      </w:r>
      <w:r>
        <w:rPr>
          <w:rFonts w:ascii="Arial" w:hAnsi="Arial"/>
          <w:sz w:val="20"/>
        </w:rPr>
        <w:t>de</w:t>
      </w:r>
      <w:r>
        <w:rPr>
          <w:rFonts w:ascii="Arial" w:hAnsi="Arial"/>
          <w:spacing w:val="-24"/>
          <w:sz w:val="20"/>
        </w:rPr>
        <w:t> </w:t>
      </w:r>
      <w:r>
        <w:rPr>
          <w:rFonts w:ascii="Arial" w:hAnsi="Arial"/>
          <w:sz w:val="20"/>
        </w:rPr>
        <w:t>mineração.</w:t>
      </w:r>
    </w:p>
    <w:p>
      <w:pPr>
        <w:pStyle w:val="BodyText"/>
        <w:spacing w:before="2"/>
        <w:rPr>
          <w:rFonts w:ascii="Arial"/>
          <w:sz w:val="25"/>
        </w:rPr>
      </w:pPr>
      <w:r>
        <w:rPr/>
        <w:pict>
          <v:shape style="position:absolute;margin-left:475.660004pt;margin-top:15.721045pt;width:40.450pt;height:55.95pt;mso-position-horizontal-relative:page;mso-position-vertical-relative:paragraph;z-index:-808;mso-wrap-distance-left:0;mso-wrap-distance-right:0" type="#_x0000_t202" filled="true" fillcolor="#6fac46" stroked="false">
            <v:textbox inset="0,0,0,0">
              <w:txbxContent>
                <w:p>
                  <w:pPr>
                    <w:pStyle w:val="BodyText"/>
                    <w:spacing w:before="10"/>
                    <w:rPr>
                      <w:rFonts w:ascii="Arial"/>
                      <w:sz w:val="29"/>
                    </w:rPr>
                  </w:pPr>
                </w:p>
                <w:p>
                  <w:pPr>
                    <w:spacing w:before="0"/>
                    <w:ind w:left="0" w:right="0" w:firstLine="0"/>
                    <w:jc w:val="center"/>
                    <w:rPr>
                      <w:rFonts w:ascii="Arial"/>
                      <w:sz w:val="36"/>
                    </w:rPr>
                  </w:pPr>
                  <w:r>
                    <w:rPr>
                      <w:rFonts w:ascii="Arial"/>
                      <w:color w:val="FFFFFF"/>
                      <w:w w:val="91"/>
                      <w:sz w:val="36"/>
                    </w:rPr>
                    <w:t>3</w:t>
                  </w:r>
                </w:p>
              </w:txbxContent>
            </v:textbox>
            <v:fill type="solid"/>
            <w10:wrap type="topAndBottom"/>
          </v:shape>
        </w:pict>
      </w:r>
    </w:p>
    <w:p>
      <w:pPr>
        <w:spacing w:after="0"/>
        <w:rPr>
          <w:rFonts w:ascii="Arial"/>
          <w:sz w:val="25"/>
        </w:rPr>
        <w:sectPr>
          <w:type w:val="continuous"/>
          <w:pgSz w:w="11910" w:h="16840"/>
          <w:pgMar w:top="0" w:bottom="280" w:left="0" w:right="0"/>
        </w:sectPr>
      </w:pPr>
    </w:p>
    <w:p>
      <w:pPr>
        <w:pStyle w:val="BodyText"/>
        <w:rPr>
          <w:rFonts w:ascii="Arial"/>
          <w:sz w:val="20"/>
        </w:rPr>
      </w:pPr>
    </w:p>
    <w:p>
      <w:pPr>
        <w:pStyle w:val="BodyText"/>
        <w:rPr>
          <w:rFonts w:ascii="Arial"/>
          <w:sz w:val="20"/>
        </w:rPr>
      </w:pPr>
    </w:p>
    <w:p>
      <w:pPr>
        <w:pStyle w:val="BodyText"/>
        <w:spacing w:before="1"/>
        <w:rPr>
          <w:rFonts w:ascii="Arial"/>
          <w:sz w:val="18"/>
        </w:rPr>
      </w:pPr>
    </w:p>
    <w:p>
      <w:pPr>
        <w:spacing w:after="0"/>
        <w:rPr>
          <w:rFonts w:ascii="Arial"/>
          <w:sz w:val="18"/>
        </w:rPr>
        <w:sectPr>
          <w:pgSz w:w="11910" w:h="16840"/>
          <w:pgMar w:top="0" w:bottom="0" w:left="0" w:right="0"/>
        </w:sectPr>
      </w:pPr>
    </w:p>
    <w:p>
      <w:pPr>
        <w:pStyle w:val="Heading1"/>
        <w:spacing w:line="172" w:lineRule="auto"/>
      </w:pPr>
      <w:r>
        <w:rPr/>
        <w:drawing>
          <wp:anchor distT="0" distB="0" distL="0" distR="0" allowOverlap="1" layoutInCell="1" locked="0" behindDoc="0" simplePos="0" relativeHeight="1336">
            <wp:simplePos x="0" y="0"/>
            <wp:positionH relativeFrom="page">
              <wp:posOffset>979932</wp:posOffset>
            </wp:positionH>
            <wp:positionV relativeFrom="paragraph">
              <wp:posOffset>-9589</wp:posOffset>
            </wp:positionV>
            <wp:extent cx="1478280" cy="612648"/>
            <wp:effectExtent l="0" t="0" r="0" b="0"/>
            <wp:wrapNone/>
            <wp:docPr id="9" name="image8.png" descr=""/>
            <wp:cNvGraphicFramePr>
              <a:graphicFrameLocks noChangeAspect="1"/>
            </wp:cNvGraphicFramePr>
            <a:graphic>
              <a:graphicData uri="http://schemas.openxmlformats.org/drawingml/2006/picture">
                <pic:pic>
                  <pic:nvPicPr>
                    <pic:cNvPr id="10" name="image8.png"/>
                    <pic:cNvPicPr/>
                  </pic:nvPicPr>
                  <pic:blipFill>
                    <a:blip r:embed="rId12" cstate="print"/>
                    <a:stretch>
                      <a:fillRect/>
                    </a:stretch>
                  </pic:blipFill>
                  <pic:spPr>
                    <a:xfrm>
                      <a:off x="0" y="0"/>
                      <a:ext cx="1478280" cy="612648"/>
                    </a:xfrm>
                    <a:prstGeom prst="rect">
                      <a:avLst/>
                    </a:prstGeom>
                  </pic:spPr>
                </pic:pic>
              </a:graphicData>
            </a:graphic>
          </wp:anchor>
        </w:drawing>
      </w:r>
      <w:r>
        <w:rPr>
          <w:color w:val="385522"/>
        </w:rPr>
        <w:t>meio </w:t>
      </w:r>
      <w:r>
        <w:rPr>
          <w:color w:val="385522"/>
          <w:w w:val="95"/>
        </w:rPr>
        <w:t>ambiente</w:t>
      </w:r>
    </w:p>
    <w:p>
      <w:pPr>
        <w:spacing w:before="60"/>
        <w:ind w:left="455" w:right="0" w:firstLine="0"/>
        <w:jc w:val="left"/>
        <w:rPr>
          <w:rFonts w:ascii="Arial" w:hAnsi="Arial"/>
          <w:sz w:val="22"/>
        </w:rPr>
      </w:pPr>
      <w:r>
        <w:rPr/>
        <w:br w:type="column"/>
      </w:r>
      <w:r>
        <w:rPr>
          <w:rFonts w:ascii="Arial" w:hAnsi="Arial"/>
          <w:color w:val="385522"/>
          <w:sz w:val="22"/>
        </w:rPr>
        <w:t>Plano Municipal de Segurança de Barragens-PMSB</w:t>
      </w:r>
    </w:p>
    <w:p>
      <w:pPr>
        <w:spacing w:after="0"/>
        <w:jc w:val="left"/>
        <w:rPr>
          <w:rFonts w:ascii="Arial" w:hAnsi="Arial"/>
          <w:sz w:val="22"/>
        </w:rPr>
        <w:sectPr>
          <w:type w:val="continuous"/>
          <w:pgSz w:w="11910" w:h="16840"/>
          <w:pgMar w:top="0" w:bottom="280" w:left="0" w:right="0"/>
          <w:cols w:num="2" w:equalWidth="0">
            <w:col w:w="5155" w:space="77"/>
            <w:col w:w="6678"/>
          </w:cols>
        </w:sectPr>
      </w:pPr>
    </w:p>
    <w:p>
      <w:pPr>
        <w:pStyle w:val="BodyText"/>
        <w:rPr>
          <w:rFonts w:ascii="Arial"/>
          <w:sz w:val="20"/>
        </w:rPr>
      </w:pPr>
      <w:r>
        <w:rPr/>
        <w:drawing>
          <wp:anchor distT="0" distB="0" distL="0" distR="0" allowOverlap="1" layoutInCell="1" locked="0" behindDoc="0" simplePos="0" relativeHeight="1360">
            <wp:simplePos x="0" y="0"/>
            <wp:positionH relativeFrom="page">
              <wp:posOffset>288925</wp:posOffset>
            </wp:positionH>
            <wp:positionV relativeFrom="page">
              <wp:posOffset>634</wp:posOffset>
            </wp:positionV>
            <wp:extent cx="474344" cy="10691748"/>
            <wp:effectExtent l="0" t="0" r="0" b="0"/>
            <wp:wrapNone/>
            <wp:docPr id="11" name="image9.png" descr=""/>
            <wp:cNvGraphicFramePr>
              <a:graphicFrameLocks noChangeAspect="1"/>
            </wp:cNvGraphicFramePr>
            <a:graphic>
              <a:graphicData uri="http://schemas.openxmlformats.org/drawingml/2006/picture">
                <pic:pic>
                  <pic:nvPicPr>
                    <pic:cNvPr id="12" name="image9.png"/>
                    <pic:cNvPicPr/>
                  </pic:nvPicPr>
                  <pic:blipFill>
                    <a:blip r:embed="rId13" cstate="print"/>
                    <a:stretch>
                      <a:fillRect/>
                    </a:stretch>
                  </pic:blipFill>
                  <pic:spPr>
                    <a:xfrm>
                      <a:off x="0" y="0"/>
                      <a:ext cx="474344" cy="10691748"/>
                    </a:xfrm>
                    <a:prstGeom prst="rect">
                      <a:avLst/>
                    </a:prstGeom>
                  </pic:spPr>
                </pic:pic>
              </a:graphicData>
            </a:graphic>
          </wp:anchor>
        </w:drawing>
      </w:r>
    </w:p>
    <w:p>
      <w:pPr>
        <w:pStyle w:val="BodyText"/>
        <w:rPr>
          <w:rFonts w:ascii="Arial"/>
          <w:sz w:val="20"/>
        </w:rPr>
      </w:pPr>
    </w:p>
    <w:p>
      <w:pPr>
        <w:pStyle w:val="BodyText"/>
        <w:spacing w:before="2"/>
        <w:rPr>
          <w:rFonts w:ascii="Arial"/>
          <w:sz w:val="23"/>
        </w:rPr>
      </w:pPr>
    </w:p>
    <w:p>
      <w:pPr>
        <w:pStyle w:val="Heading3"/>
        <w:numPr>
          <w:ilvl w:val="0"/>
          <w:numId w:val="2"/>
        </w:numPr>
        <w:tabs>
          <w:tab w:pos="2346" w:val="left" w:leader="none"/>
        </w:tabs>
        <w:spacing w:line="240" w:lineRule="auto" w:before="0" w:after="0"/>
        <w:ind w:left="2345" w:right="0" w:hanging="360"/>
        <w:jc w:val="left"/>
      </w:pPr>
      <w:bookmarkStart w:name="_bookmark1" w:id="3"/>
      <w:bookmarkEnd w:id="3"/>
      <w:r>
        <w:rPr>
          <w:b w:val="0"/>
        </w:rPr>
      </w:r>
      <w:bookmarkStart w:name="_bookmark1" w:id="4"/>
      <w:bookmarkEnd w:id="4"/>
      <w:r>
        <w:rPr/>
        <w:t>P</w:t>
      </w:r>
      <w:r>
        <w:rPr/>
        <w:t>RELIMINARMENTE.</w:t>
      </w:r>
    </w:p>
    <w:p>
      <w:pPr>
        <w:pStyle w:val="BodyText"/>
        <w:rPr>
          <w:b/>
          <w:sz w:val="26"/>
        </w:rPr>
      </w:pPr>
    </w:p>
    <w:p>
      <w:pPr>
        <w:pStyle w:val="BodyText"/>
        <w:spacing w:line="360" w:lineRule="auto" w:before="193"/>
        <w:ind w:left="1702" w:right="1694"/>
        <w:jc w:val="both"/>
      </w:pPr>
      <w:r>
        <w:rPr/>
        <w:t>A Secretaria Municipal de Meio Ambiente - SEMMA, para reconhecimento do cenário, deu início ao levantamento de todas as estruturas de barragens localizadas no município e seu entorno, bem como de seus respectivos Planos de Ações Emergenciais e estudos acessórios, com intuito não somente de identificar as barragens aqui localizadas do ponto de vista geográfico e limítrofe do município, mas também do ponto de vista de influência segundo a bacia hidrográfica de convergência de escoamento, de modo a formar opinião sobre a situação de fato a que o município encontra-se</w:t>
      </w:r>
      <w:r>
        <w:rPr>
          <w:spacing w:val="-8"/>
        </w:rPr>
        <w:t> </w:t>
      </w:r>
      <w:r>
        <w:rPr/>
        <w:t>exposto.</w:t>
      </w:r>
    </w:p>
    <w:p>
      <w:pPr>
        <w:pStyle w:val="BodyText"/>
        <w:spacing w:before="9"/>
        <w:rPr>
          <w:sz w:val="20"/>
        </w:rPr>
      </w:pPr>
    </w:p>
    <w:p>
      <w:pPr>
        <w:pStyle w:val="BodyText"/>
        <w:spacing w:line="360" w:lineRule="auto" w:before="1"/>
        <w:ind w:left="1702" w:right="1696"/>
        <w:jc w:val="both"/>
      </w:pPr>
      <w:r>
        <w:rPr/>
        <w:t>O cenário que se verificou após o cadastro e levantamento de todas as estruturas, culminou com a identificação de </w:t>
      </w:r>
      <w:r>
        <w:rPr>
          <w:b/>
        </w:rPr>
        <w:t>23 (vinte e três) barragens de rejeitos de mineração </w:t>
      </w:r>
      <w:r>
        <w:rPr/>
        <w:t>e </w:t>
      </w:r>
      <w:r>
        <w:rPr>
          <w:b/>
        </w:rPr>
        <w:t>1 (uma) de acumulação de água (Barragem Lago Soledade)</w:t>
      </w:r>
      <w:r>
        <w:rPr/>
        <w:t>, que merecem atenção especial, dada sua localização e análise de aspectos relacionados ao histórico, drenagem, volume e classificação, buscando melhor elucidação e compreensão de diversas questões que poderiam estar associadas e propensas a influenciar de forma negativa, a análise e o cenário hipotético de</w:t>
      </w:r>
      <w:r>
        <w:rPr>
          <w:spacing w:val="-4"/>
        </w:rPr>
        <w:t> </w:t>
      </w:r>
      <w:r>
        <w:rPr/>
        <w:t>rompimento.</w:t>
      </w:r>
    </w:p>
    <w:p>
      <w:pPr>
        <w:pStyle w:val="BodyText"/>
        <w:spacing w:before="11"/>
        <w:rPr>
          <w:sz w:val="20"/>
        </w:rPr>
      </w:pPr>
    </w:p>
    <w:p>
      <w:pPr>
        <w:pStyle w:val="BodyText"/>
        <w:spacing w:line="360" w:lineRule="auto"/>
        <w:ind w:left="1702" w:right="1695"/>
        <w:jc w:val="both"/>
      </w:pPr>
      <w:r>
        <w:rPr/>
        <w:t>Aos empreendedores destas estruturas foram solicitadas informações iniciais em face do Ofício PMC/SEMMA 025/2017, que geraram além de farta documentação extraprocessual, que incluem </w:t>
      </w:r>
      <w:r>
        <w:rPr>
          <w:b/>
          <w:i/>
        </w:rPr>
        <w:t>i) </w:t>
      </w:r>
      <w:r>
        <w:rPr/>
        <w:t>Planos de Ação Emergencial, </w:t>
      </w:r>
      <w:r>
        <w:rPr>
          <w:b/>
          <w:i/>
        </w:rPr>
        <w:t>ii) </w:t>
      </w:r>
      <w:r>
        <w:rPr/>
        <w:t>arquivos digitais, </w:t>
      </w:r>
      <w:r>
        <w:rPr>
          <w:b/>
          <w:i/>
        </w:rPr>
        <w:t>iii) </w:t>
      </w:r>
      <w:r>
        <w:rPr/>
        <w:t>mapas plotados (impressos) com cenários de inundação, os seguintes volumes processuais:</w:t>
      </w:r>
    </w:p>
    <w:p>
      <w:pPr>
        <w:pStyle w:val="BodyText"/>
        <w:spacing w:before="8"/>
        <w:rPr>
          <w:sz w:val="20"/>
        </w:rPr>
      </w:pPr>
    </w:p>
    <w:p>
      <w:pPr>
        <w:pStyle w:val="ListParagraph"/>
        <w:numPr>
          <w:ilvl w:val="1"/>
          <w:numId w:val="2"/>
        </w:numPr>
        <w:tabs>
          <w:tab w:pos="3141" w:val="left" w:leader="none"/>
          <w:tab w:pos="3142" w:val="left" w:leader="none"/>
        </w:tabs>
        <w:spacing w:line="240" w:lineRule="auto" w:before="0" w:after="0"/>
        <w:ind w:left="3142" w:right="0" w:hanging="360"/>
        <w:jc w:val="left"/>
        <w:rPr>
          <w:i/>
          <w:sz w:val="24"/>
        </w:rPr>
      </w:pPr>
      <w:r>
        <w:rPr>
          <w:i/>
          <w:sz w:val="24"/>
        </w:rPr>
        <w:t>001701/2018 - Ferrous Ressources do Brasil - 67</w:t>
      </w:r>
      <w:r>
        <w:rPr>
          <w:i/>
          <w:spacing w:val="-2"/>
          <w:sz w:val="24"/>
        </w:rPr>
        <w:t> </w:t>
      </w:r>
      <w:r>
        <w:rPr>
          <w:i/>
          <w:sz w:val="24"/>
        </w:rPr>
        <w:t>fls.</w:t>
      </w:r>
    </w:p>
    <w:p>
      <w:pPr>
        <w:pStyle w:val="BodyText"/>
        <w:spacing w:before="10"/>
        <w:rPr>
          <w:i/>
          <w:sz w:val="32"/>
        </w:rPr>
      </w:pPr>
    </w:p>
    <w:p>
      <w:pPr>
        <w:pStyle w:val="ListParagraph"/>
        <w:numPr>
          <w:ilvl w:val="1"/>
          <w:numId w:val="2"/>
        </w:numPr>
        <w:tabs>
          <w:tab w:pos="3141" w:val="left" w:leader="none"/>
          <w:tab w:pos="3142" w:val="left" w:leader="none"/>
        </w:tabs>
        <w:spacing w:line="240" w:lineRule="auto" w:before="1" w:after="0"/>
        <w:ind w:left="3142" w:right="0" w:hanging="360"/>
        <w:jc w:val="left"/>
        <w:rPr>
          <w:i/>
          <w:sz w:val="24"/>
        </w:rPr>
      </w:pPr>
      <w:r>
        <w:rPr>
          <w:i/>
          <w:sz w:val="24"/>
        </w:rPr>
        <w:t>002259/2018 - CSN Mineração S/A - 67</w:t>
      </w:r>
      <w:r>
        <w:rPr>
          <w:i/>
          <w:spacing w:val="-1"/>
          <w:sz w:val="24"/>
        </w:rPr>
        <w:t> </w:t>
      </w:r>
      <w:r>
        <w:rPr>
          <w:i/>
          <w:sz w:val="24"/>
        </w:rPr>
        <w:t>fls.</w:t>
      </w:r>
    </w:p>
    <w:p>
      <w:pPr>
        <w:pStyle w:val="BodyText"/>
        <w:spacing w:before="10"/>
        <w:rPr>
          <w:i/>
          <w:sz w:val="32"/>
        </w:rPr>
      </w:pPr>
    </w:p>
    <w:p>
      <w:pPr>
        <w:pStyle w:val="ListParagraph"/>
        <w:numPr>
          <w:ilvl w:val="1"/>
          <w:numId w:val="2"/>
        </w:numPr>
        <w:tabs>
          <w:tab w:pos="3141" w:val="left" w:leader="none"/>
          <w:tab w:pos="3142" w:val="left" w:leader="none"/>
        </w:tabs>
        <w:spacing w:line="240" w:lineRule="auto" w:before="0" w:after="0"/>
        <w:ind w:left="3142" w:right="0" w:hanging="360"/>
        <w:jc w:val="left"/>
        <w:rPr>
          <w:i/>
          <w:sz w:val="24"/>
        </w:rPr>
      </w:pPr>
      <w:r>
        <w:rPr>
          <w:i/>
          <w:sz w:val="24"/>
        </w:rPr>
        <w:t>0012103/2017 - Gerdau Açominas - 93</w:t>
      </w:r>
      <w:r>
        <w:rPr>
          <w:i/>
          <w:spacing w:val="1"/>
          <w:sz w:val="24"/>
        </w:rPr>
        <w:t> </w:t>
      </w:r>
      <w:r>
        <w:rPr>
          <w:i/>
          <w:sz w:val="24"/>
        </w:rPr>
        <w:t>fls</w:t>
      </w:r>
    </w:p>
    <w:p>
      <w:pPr>
        <w:pStyle w:val="BodyText"/>
        <w:spacing w:before="10"/>
        <w:rPr>
          <w:i/>
          <w:sz w:val="32"/>
        </w:rPr>
      </w:pPr>
    </w:p>
    <w:p>
      <w:pPr>
        <w:pStyle w:val="ListParagraph"/>
        <w:numPr>
          <w:ilvl w:val="1"/>
          <w:numId w:val="2"/>
        </w:numPr>
        <w:tabs>
          <w:tab w:pos="3141" w:val="left" w:leader="none"/>
          <w:tab w:pos="3142" w:val="left" w:leader="none"/>
        </w:tabs>
        <w:spacing w:line="240" w:lineRule="auto" w:before="1" w:after="0"/>
        <w:ind w:left="3142" w:right="0" w:hanging="360"/>
        <w:jc w:val="left"/>
        <w:rPr>
          <w:i/>
          <w:sz w:val="24"/>
        </w:rPr>
      </w:pPr>
      <w:r>
        <w:rPr>
          <w:i/>
          <w:sz w:val="24"/>
        </w:rPr>
        <w:t>0012546/2017 - Ferro + Mineração S/A - 137fls.</w:t>
      </w:r>
    </w:p>
    <w:p>
      <w:pPr>
        <w:pStyle w:val="BodyText"/>
        <w:spacing w:before="10"/>
        <w:rPr>
          <w:i/>
          <w:sz w:val="32"/>
        </w:rPr>
      </w:pPr>
    </w:p>
    <w:p>
      <w:pPr>
        <w:pStyle w:val="ListParagraph"/>
        <w:numPr>
          <w:ilvl w:val="1"/>
          <w:numId w:val="2"/>
        </w:numPr>
        <w:tabs>
          <w:tab w:pos="3141" w:val="left" w:leader="none"/>
          <w:tab w:pos="3142" w:val="left" w:leader="none"/>
        </w:tabs>
        <w:spacing w:line="240" w:lineRule="auto" w:before="0" w:after="0"/>
        <w:ind w:left="3142" w:right="0" w:hanging="360"/>
        <w:jc w:val="left"/>
        <w:rPr>
          <w:i/>
          <w:sz w:val="24"/>
        </w:rPr>
      </w:pPr>
      <w:r>
        <w:rPr>
          <w:i/>
          <w:sz w:val="24"/>
        </w:rPr>
        <w:t>0012601/2017 - CSN Mineração S/A - 15</w:t>
      </w:r>
      <w:r>
        <w:rPr>
          <w:i/>
          <w:spacing w:val="-1"/>
          <w:sz w:val="24"/>
        </w:rPr>
        <w:t> </w:t>
      </w:r>
      <w:r>
        <w:rPr>
          <w:i/>
          <w:sz w:val="24"/>
        </w:rPr>
        <w:t>fls.</w:t>
      </w:r>
    </w:p>
    <w:p>
      <w:pPr>
        <w:pStyle w:val="BodyText"/>
        <w:spacing w:before="10"/>
        <w:rPr>
          <w:i/>
          <w:sz w:val="32"/>
        </w:rPr>
      </w:pPr>
    </w:p>
    <w:p>
      <w:pPr>
        <w:pStyle w:val="ListParagraph"/>
        <w:numPr>
          <w:ilvl w:val="1"/>
          <w:numId w:val="2"/>
        </w:numPr>
        <w:tabs>
          <w:tab w:pos="3141" w:val="left" w:leader="none"/>
          <w:tab w:pos="3142" w:val="left" w:leader="none"/>
        </w:tabs>
        <w:spacing w:line="240" w:lineRule="auto" w:before="0" w:after="0"/>
        <w:ind w:left="3142" w:right="0" w:hanging="360"/>
        <w:jc w:val="left"/>
        <w:rPr>
          <w:i/>
          <w:sz w:val="24"/>
        </w:rPr>
      </w:pPr>
      <w:r>
        <w:rPr>
          <w:i/>
          <w:sz w:val="24"/>
        </w:rPr>
        <w:t>001071/2017 - VALE S/A - 267</w:t>
      </w:r>
      <w:r>
        <w:rPr>
          <w:i/>
          <w:spacing w:val="-1"/>
          <w:sz w:val="24"/>
        </w:rPr>
        <w:t> </w:t>
      </w:r>
      <w:r>
        <w:rPr>
          <w:i/>
          <w:sz w:val="24"/>
        </w:rPr>
        <w:t>fls.</w:t>
      </w:r>
    </w:p>
    <w:p>
      <w:pPr>
        <w:pStyle w:val="BodyText"/>
        <w:rPr>
          <w:i/>
          <w:sz w:val="20"/>
        </w:rPr>
      </w:pPr>
    </w:p>
    <w:p>
      <w:pPr>
        <w:pStyle w:val="BodyText"/>
        <w:spacing w:before="1"/>
        <w:rPr>
          <w:i/>
          <w:sz w:val="25"/>
        </w:rPr>
      </w:pPr>
      <w:r>
        <w:rPr/>
        <w:pict>
          <v:shape style="position:absolute;margin-left:475.660004pt;margin-top:15.67306pt;width:40.450pt;height:55.95pt;mso-position-horizontal-relative:page;mso-position-vertical-relative:paragraph;z-index:-736;mso-wrap-distance-left:0;mso-wrap-distance-right:0" type="#_x0000_t202" filled="true" fillcolor="#6fac46" stroked="false">
            <v:textbox inset="0,0,0,0">
              <w:txbxContent>
                <w:p>
                  <w:pPr>
                    <w:pStyle w:val="BodyText"/>
                    <w:spacing w:before="10"/>
                    <w:rPr>
                      <w:i/>
                      <w:sz w:val="29"/>
                    </w:rPr>
                  </w:pPr>
                </w:p>
                <w:p>
                  <w:pPr>
                    <w:spacing w:before="0"/>
                    <w:ind w:left="0" w:right="0" w:firstLine="0"/>
                    <w:jc w:val="center"/>
                    <w:rPr>
                      <w:rFonts w:ascii="Arial"/>
                      <w:sz w:val="36"/>
                    </w:rPr>
                  </w:pPr>
                  <w:r>
                    <w:rPr>
                      <w:rFonts w:ascii="Arial"/>
                      <w:color w:val="FFFFFF"/>
                      <w:w w:val="91"/>
                      <w:sz w:val="36"/>
                    </w:rPr>
                    <w:t>4</w:t>
                  </w:r>
                </w:p>
              </w:txbxContent>
            </v:textbox>
            <v:fill type="solid"/>
            <w10:wrap type="topAndBottom"/>
          </v:shape>
        </w:pict>
      </w:r>
    </w:p>
    <w:p>
      <w:pPr>
        <w:spacing w:after="0"/>
        <w:rPr>
          <w:sz w:val="25"/>
        </w:rPr>
        <w:sectPr>
          <w:type w:val="continuous"/>
          <w:pgSz w:w="11910" w:h="16840"/>
          <w:pgMar w:top="0" w:bottom="280" w:left="0" w:right="0"/>
        </w:sectPr>
      </w:pPr>
    </w:p>
    <w:p>
      <w:pPr>
        <w:pStyle w:val="BodyText"/>
        <w:rPr>
          <w:i/>
          <w:sz w:val="20"/>
        </w:rPr>
      </w:pPr>
    </w:p>
    <w:p>
      <w:pPr>
        <w:pStyle w:val="BodyText"/>
        <w:rPr>
          <w:i/>
          <w:sz w:val="20"/>
        </w:rPr>
      </w:pPr>
    </w:p>
    <w:p>
      <w:pPr>
        <w:pStyle w:val="BodyText"/>
        <w:spacing w:before="1"/>
        <w:rPr>
          <w:i/>
          <w:sz w:val="18"/>
        </w:rPr>
      </w:pPr>
    </w:p>
    <w:p>
      <w:pPr>
        <w:spacing w:after="0"/>
        <w:rPr>
          <w:sz w:val="18"/>
        </w:rPr>
        <w:sectPr>
          <w:pgSz w:w="11910" w:h="16840"/>
          <w:pgMar w:top="0" w:bottom="0" w:left="0" w:right="0"/>
        </w:sectPr>
      </w:pPr>
    </w:p>
    <w:p>
      <w:pPr>
        <w:pStyle w:val="Heading1"/>
        <w:spacing w:line="172" w:lineRule="auto"/>
      </w:pPr>
      <w:r>
        <w:rPr/>
        <w:drawing>
          <wp:anchor distT="0" distB="0" distL="0" distR="0" allowOverlap="1" layoutInCell="1" locked="0" behindDoc="0" simplePos="0" relativeHeight="1432">
            <wp:simplePos x="0" y="0"/>
            <wp:positionH relativeFrom="page">
              <wp:posOffset>979932</wp:posOffset>
            </wp:positionH>
            <wp:positionV relativeFrom="paragraph">
              <wp:posOffset>-9589</wp:posOffset>
            </wp:positionV>
            <wp:extent cx="1478280" cy="612648"/>
            <wp:effectExtent l="0" t="0" r="0" b="0"/>
            <wp:wrapNone/>
            <wp:docPr id="13" name="image8.png" descr=""/>
            <wp:cNvGraphicFramePr>
              <a:graphicFrameLocks noChangeAspect="1"/>
            </wp:cNvGraphicFramePr>
            <a:graphic>
              <a:graphicData uri="http://schemas.openxmlformats.org/drawingml/2006/picture">
                <pic:pic>
                  <pic:nvPicPr>
                    <pic:cNvPr id="14" name="image8.png"/>
                    <pic:cNvPicPr/>
                  </pic:nvPicPr>
                  <pic:blipFill>
                    <a:blip r:embed="rId12" cstate="print"/>
                    <a:stretch>
                      <a:fillRect/>
                    </a:stretch>
                  </pic:blipFill>
                  <pic:spPr>
                    <a:xfrm>
                      <a:off x="0" y="0"/>
                      <a:ext cx="1478280" cy="612648"/>
                    </a:xfrm>
                    <a:prstGeom prst="rect">
                      <a:avLst/>
                    </a:prstGeom>
                  </pic:spPr>
                </pic:pic>
              </a:graphicData>
            </a:graphic>
          </wp:anchor>
        </w:drawing>
      </w:r>
      <w:r>
        <w:rPr>
          <w:color w:val="385522"/>
        </w:rPr>
        <w:t>meio </w:t>
      </w:r>
      <w:r>
        <w:rPr>
          <w:color w:val="385522"/>
          <w:w w:val="95"/>
        </w:rPr>
        <w:t>ambiente</w:t>
      </w:r>
    </w:p>
    <w:p>
      <w:pPr>
        <w:spacing w:before="60"/>
        <w:ind w:left="455" w:right="0" w:firstLine="0"/>
        <w:jc w:val="left"/>
        <w:rPr>
          <w:rFonts w:ascii="Arial" w:hAnsi="Arial"/>
          <w:sz w:val="22"/>
        </w:rPr>
      </w:pPr>
      <w:r>
        <w:rPr/>
        <w:br w:type="column"/>
      </w:r>
      <w:r>
        <w:rPr>
          <w:rFonts w:ascii="Arial" w:hAnsi="Arial"/>
          <w:color w:val="385522"/>
          <w:sz w:val="22"/>
        </w:rPr>
        <w:t>Plano Municipal de Segurança de Barragens-PMSB</w:t>
      </w:r>
    </w:p>
    <w:p>
      <w:pPr>
        <w:spacing w:after="0"/>
        <w:jc w:val="left"/>
        <w:rPr>
          <w:rFonts w:ascii="Arial" w:hAnsi="Arial"/>
          <w:sz w:val="22"/>
        </w:rPr>
        <w:sectPr>
          <w:type w:val="continuous"/>
          <w:pgSz w:w="11910" w:h="16840"/>
          <w:pgMar w:top="0" w:bottom="280" w:left="0" w:right="0"/>
          <w:cols w:num="2" w:equalWidth="0">
            <w:col w:w="5155" w:space="77"/>
            <w:col w:w="6678"/>
          </w:cols>
        </w:sectPr>
      </w:pPr>
    </w:p>
    <w:p>
      <w:pPr>
        <w:pStyle w:val="BodyText"/>
        <w:rPr>
          <w:rFonts w:ascii="Arial"/>
          <w:sz w:val="20"/>
        </w:rPr>
      </w:pPr>
      <w:r>
        <w:rPr/>
        <w:drawing>
          <wp:anchor distT="0" distB="0" distL="0" distR="0" allowOverlap="1" layoutInCell="1" locked="0" behindDoc="0" simplePos="0" relativeHeight="1456">
            <wp:simplePos x="0" y="0"/>
            <wp:positionH relativeFrom="page">
              <wp:posOffset>288925</wp:posOffset>
            </wp:positionH>
            <wp:positionV relativeFrom="page">
              <wp:posOffset>634</wp:posOffset>
            </wp:positionV>
            <wp:extent cx="474344" cy="10691748"/>
            <wp:effectExtent l="0" t="0" r="0" b="0"/>
            <wp:wrapNone/>
            <wp:docPr id="15" name="image9.png" descr=""/>
            <wp:cNvGraphicFramePr>
              <a:graphicFrameLocks noChangeAspect="1"/>
            </wp:cNvGraphicFramePr>
            <a:graphic>
              <a:graphicData uri="http://schemas.openxmlformats.org/drawingml/2006/picture">
                <pic:pic>
                  <pic:nvPicPr>
                    <pic:cNvPr id="16" name="image9.png"/>
                    <pic:cNvPicPr/>
                  </pic:nvPicPr>
                  <pic:blipFill>
                    <a:blip r:embed="rId13" cstate="print"/>
                    <a:stretch>
                      <a:fillRect/>
                    </a:stretch>
                  </pic:blipFill>
                  <pic:spPr>
                    <a:xfrm>
                      <a:off x="0" y="0"/>
                      <a:ext cx="474344" cy="10691748"/>
                    </a:xfrm>
                    <a:prstGeom prst="rect">
                      <a:avLst/>
                    </a:prstGeom>
                  </pic:spPr>
                </pic:pic>
              </a:graphicData>
            </a:graphic>
          </wp:anchor>
        </w:drawing>
      </w:r>
    </w:p>
    <w:p>
      <w:pPr>
        <w:pStyle w:val="BodyText"/>
        <w:rPr>
          <w:rFonts w:ascii="Arial"/>
          <w:sz w:val="20"/>
        </w:rPr>
      </w:pPr>
    </w:p>
    <w:p>
      <w:pPr>
        <w:pStyle w:val="BodyText"/>
        <w:spacing w:before="8"/>
        <w:rPr>
          <w:rFonts w:ascii="Arial"/>
          <w:sz w:val="22"/>
        </w:rPr>
      </w:pPr>
    </w:p>
    <w:p>
      <w:pPr>
        <w:pStyle w:val="BodyText"/>
        <w:spacing w:line="360" w:lineRule="auto" w:before="1"/>
        <w:ind w:left="1702" w:right="1699"/>
        <w:jc w:val="both"/>
      </w:pPr>
      <w:r>
        <w:rPr/>
        <w:t>Em posse destes, passamos a analisar os dados e a visualizar os cenários no caso de rupturas individuais e associadas, cruzando os dados projetados em seus respectivos mapas de inundação, identificando suas sobreposições para que pudéssemos verificar de fato as áreas de riscos e mensurar o tempo e extensão dos impactos em determinados ambientes.</w:t>
      </w:r>
    </w:p>
    <w:p>
      <w:pPr>
        <w:pStyle w:val="BodyText"/>
        <w:spacing w:before="8"/>
        <w:rPr>
          <w:sz w:val="20"/>
        </w:rPr>
      </w:pPr>
    </w:p>
    <w:p>
      <w:pPr>
        <w:pStyle w:val="BodyText"/>
        <w:spacing w:line="360" w:lineRule="auto" w:before="1"/>
        <w:ind w:left="1702" w:right="1697"/>
        <w:jc w:val="both"/>
      </w:pPr>
      <w:r>
        <w:rPr/>
        <w:t>Acompanhando os treinamentos e simulados da Companhia Siderúrgica Nacional-CSN junto à comunidade, pudemos bem observar o índice de participação e reação da população às situações de emergência, bem como projetar os desafios a serem enfrentados pelas demais empresas que ainda estavam se organizando para o mesmo exercício.</w:t>
      </w:r>
    </w:p>
    <w:p>
      <w:pPr>
        <w:pStyle w:val="BodyText"/>
        <w:spacing w:before="9"/>
        <w:rPr>
          <w:sz w:val="20"/>
        </w:rPr>
      </w:pPr>
    </w:p>
    <w:p>
      <w:pPr>
        <w:pStyle w:val="BodyText"/>
        <w:spacing w:line="360" w:lineRule="auto"/>
        <w:ind w:left="1702" w:right="1695"/>
        <w:jc w:val="both"/>
      </w:pPr>
      <w:r>
        <w:rPr/>
        <w:t>Também buscamos na literatura, diversos trabalhos, estudos e artigos sobre os casos de ruptura de barragens, como no exemplo que segue, onde pode-se verificar que cenários diferentes se formam, tanto pelo material que está disposto numa estrutura, quanto pelo modo, local e modelo de ruptura. Tal variação deve-se também pela metodologia aplicada aos estudos de ruptura hipotética (</w:t>
      </w:r>
      <w:r>
        <w:rPr>
          <w:i/>
        </w:rPr>
        <w:t>dam break)</w:t>
      </w:r>
      <w:r>
        <w:rPr/>
        <w:t>, estudo que projeta e avalia os potenciais impactos da ruptura de uma barragem, com a consequente construção dos mapas de onda e inundação.</w:t>
      </w:r>
    </w:p>
    <w:p>
      <w:pPr>
        <w:pStyle w:val="BodyText"/>
        <w:rPr>
          <w:sz w:val="18"/>
        </w:rPr>
      </w:pPr>
      <w:r>
        <w:rPr/>
        <w:drawing>
          <wp:anchor distT="0" distB="0" distL="0" distR="0" allowOverlap="1" layoutInCell="1" locked="0" behindDoc="1" simplePos="0" relativeHeight="268434791">
            <wp:simplePos x="0" y="0"/>
            <wp:positionH relativeFrom="page">
              <wp:posOffset>1189355</wp:posOffset>
            </wp:positionH>
            <wp:positionV relativeFrom="paragraph">
              <wp:posOffset>156535</wp:posOffset>
            </wp:positionV>
            <wp:extent cx="5179056" cy="3115056"/>
            <wp:effectExtent l="0" t="0" r="0" b="0"/>
            <wp:wrapTopAndBottom/>
            <wp:docPr id="17" name="image10.jpeg" descr=""/>
            <wp:cNvGraphicFramePr>
              <a:graphicFrameLocks noChangeAspect="1"/>
            </wp:cNvGraphicFramePr>
            <a:graphic>
              <a:graphicData uri="http://schemas.openxmlformats.org/drawingml/2006/picture">
                <pic:pic>
                  <pic:nvPicPr>
                    <pic:cNvPr id="18" name="image10.jpeg"/>
                    <pic:cNvPicPr/>
                  </pic:nvPicPr>
                  <pic:blipFill>
                    <a:blip r:embed="rId14" cstate="print"/>
                    <a:stretch>
                      <a:fillRect/>
                    </a:stretch>
                  </pic:blipFill>
                  <pic:spPr>
                    <a:xfrm>
                      <a:off x="0" y="0"/>
                      <a:ext cx="5179056" cy="3115056"/>
                    </a:xfrm>
                    <a:prstGeom prst="rect">
                      <a:avLst/>
                    </a:prstGeom>
                  </pic:spPr>
                </pic:pic>
              </a:graphicData>
            </a:graphic>
          </wp:anchor>
        </w:drawing>
      </w:r>
    </w:p>
    <w:p>
      <w:pPr>
        <w:pStyle w:val="BodyText"/>
        <w:rPr>
          <w:sz w:val="20"/>
        </w:rPr>
      </w:pPr>
    </w:p>
    <w:p>
      <w:pPr>
        <w:pStyle w:val="BodyText"/>
        <w:rPr>
          <w:sz w:val="20"/>
        </w:rPr>
      </w:pPr>
    </w:p>
    <w:p>
      <w:pPr>
        <w:pStyle w:val="BodyText"/>
        <w:spacing w:before="9"/>
        <w:rPr>
          <w:sz w:val="23"/>
        </w:rPr>
      </w:pPr>
      <w:r>
        <w:rPr/>
        <w:pict>
          <v:shape style="position:absolute;margin-left:475.660004pt;margin-top:14.887953pt;width:40.450pt;height:55.95pt;mso-position-horizontal-relative:page;mso-position-vertical-relative:paragraph;z-index:-640;mso-wrap-distance-left:0;mso-wrap-distance-right:0" type="#_x0000_t202" filled="true" fillcolor="#6fac46" stroked="false">
            <v:textbox inset="0,0,0,0">
              <w:txbxContent>
                <w:p>
                  <w:pPr>
                    <w:pStyle w:val="BodyText"/>
                    <w:spacing w:before="10"/>
                    <w:rPr>
                      <w:sz w:val="29"/>
                    </w:rPr>
                  </w:pPr>
                </w:p>
                <w:p>
                  <w:pPr>
                    <w:spacing w:before="0"/>
                    <w:ind w:left="0" w:right="0" w:firstLine="0"/>
                    <w:jc w:val="center"/>
                    <w:rPr>
                      <w:rFonts w:ascii="Arial"/>
                      <w:sz w:val="36"/>
                    </w:rPr>
                  </w:pPr>
                  <w:r>
                    <w:rPr>
                      <w:rFonts w:ascii="Arial"/>
                      <w:color w:val="FFFFFF"/>
                      <w:w w:val="91"/>
                      <w:sz w:val="36"/>
                    </w:rPr>
                    <w:t>5</w:t>
                  </w:r>
                </w:p>
              </w:txbxContent>
            </v:textbox>
            <v:fill type="solid"/>
            <w10:wrap type="topAndBottom"/>
          </v:shape>
        </w:pict>
      </w:r>
    </w:p>
    <w:p>
      <w:pPr>
        <w:spacing w:after="0"/>
        <w:rPr>
          <w:sz w:val="23"/>
        </w:rPr>
        <w:sectPr>
          <w:type w:val="continuous"/>
          <w:pgSz w:w="11910" w:h="16840"/>
          <w:pgMar w:top="0" w:bottom="280" w:left="0" w:right="0"/>
        </w:sectPr>
      </w:pPr>
    </w:p>
    <w:p>
      <w:pPr>
        <w:pStyle w:val="BodyText"/>
        <w:rPr>
          <w:sz w:val="20"/>
        </w:rPr>
      </w:pPr>
    </w:p>
    <w:p>
      <w:pPr>
        <w:pStyle w:val="BodyText"/>
        <w:rPr>
          <w:sz w:val="20"/>
        </w:rPr>
      </w:pPr>
    </w:p>
    <w:p>
      <w:pPr>
        <w:pStyle w:val="BodyText"/>
        <w:spacing w:before="1"/>
        <w:rPr>
          <w:sz w:val="18"/>
        </w:rPr>
      </w:pPr>
    </w:p>
    <w:p>
      <w:pPr>
        <w:spacing w:after="0"/>
        <w:rPr>
          <w:sz w:val="18"/>
        </w:rPr>
        <w:sectPr>
          <w:pgSz w:w="11910" w:h="16840"/>
          <w:pgMar w:top="0" w:bottom="0" w:left="0" w:right="0"/>
        </w:sectPr>
      </w:pPr>
    </w:p>
    <w:p>
      <w:pPr>
        <w:pStyle w:val="Heading1"/>
        <w:spacing w:line="172" w:lineRule="auto"/>
      </w:pPr>
      <w:r>
        <w:rPr/>
        <w:drawing>
          <wp:anchor distT="0" distB="0" distL="0" distR="0" allowOverlap="1" layoutInCell="1" locked="0" behindDoc="0" simplePos="0" relativeHeight="1528">
            <wp:simplePos x="0" y="0"/>
            <wp:positionH relativeFrom="page">
              <wp:posOffset>979932</wp:posOffset>
            </wp:positionH>
            <wp:positionV relativeFrom="paragraph">
              <wp:posOffset>-9589</wp:posOffset>
            </wp:positionV>
            <wp:extent cx="1478280" cy="612648"/>
            <wp:effectExtent l="0" t="0" r="0" b="0"/>
            <wp:wrapNone/>
            <wp:docPr id="19" name="image8.png" descr=""/>
            <wp:cNvGraphicFramePr>
              <a:graphicFrameLocks noChangeAspect="1"/>
            </wp:cNvGraphicFramePr>
            <a:graphic>
              <a:graphicData uri="http://schemas.openxmlformats.org/drawingml/2006/picture">
                <pic:pic>
                  <pic:nvPicPr>
                    <pic:cNvPr id="20" name="image8.png"/>
                    <pic:cNvPicPr/>
                  </pic:nvPicPr>
                  <pic:blipFill>
                    <a:blip r:embed="rId12" cstate="print"/>
                    <a:stretch>
                      <a:fillRect/>
                    </a:stretch>
                  </pic:blipFill>
                  <pic:spPr>
                    <a:xfrm>
                      <a:off x="0" y="0"/>
                      <a:ext cx="1478280" cy="612648"/>
                    </a:xfrm>
                    <a:prstGeom prst="rect">
                      <a:avLst/>
                    </a:prstGeom>
                  </pic:spPr>
                </pic:pic>
              </a:graphicData>
            </a:graphic>
          </wp:anchor>
        </w:drawing>
      </w:r>
      <w:r>
        <w:rPr>
          <w:color w:val="385522"/>
        </w:rPr>
        <w:t>meio </w:t>
      </w:r>
      <w:r>
        <w:rPr>
          <w:color w:val="385522"/>
          <w:w w:val="95"/>
        </w:rPr>
        <w:t>ambiente</w:t>
      </w:r>
    </w:p>
    <w:p>
      <w:pPr>
        <w:spacing w:before="60"/>
        <w:ind w:left="455" w:right="0" w:firstLine="0"/>
        <w:jc w:val="left"/>
        <w:rPr>
          <w:rFonts w:ascii="Arial" w:hAnsi="Arial"/>
          <w:sz w:val="22"/>
        </w:rPr>
      </w:pPr>
      <w:r>
        <w:rPr/>
        <w:br w:type="column"/>
      </w:r>
      <w:r>
        <w:rPr>
          <w:rFonts w:ascii="Arial" w:hAnsi="Arial"/>
          <w:color w:val="385522"/>
          <w:sz w:val="22"/>
        </w:rPr>
        <w:t>Plano Municipal de Segurança de Barragens-PMSB</w:t>
      </w:r>
    </w:p>
    <w:p>
      <w:pPr>
        <w:spacing w:after="0"/>
        <w:jc w:val="left"/>
        <w:rPr>
          <w:rFonts w:ascii="Arial" w:hAnsi="Arial"/>
          <w:sz w:val="22"/>
        </w:rPr>
        <w:sectPr>
          <w:type w:val="continuous"/>
          <w:pgSz w:w="11910" w:h="16840"/>
          <w:pgMar w:top="0" w:bottom="280" w:left="0" w:right="0"/>
          <w:cols w:num="2" w:equalWidth="0">
            <w:col w:w="5155" w:space="77"/>
            <w:col w:w="6678"/>
          </w:cols>
        </w:sectPr>
      </w:pPr>
    </w:p>
    <w:p>
      <w:pPr>
        <w:pStyle w:val="BodyText"/>
        <w:rPr>
          <w:rFonts w:ascii="Arial"/>
          <w:sz w:val="20"/>
        </w:rPr>
      </w:pPr>
      <w:r>
        <w:rPr/>
        <w:drawing>
          <wp:anchor distT="0" distB="0" distL="0" distR="0" allowOverlap="1" layoutInCell="1" locked="0" behindDoc="0" simplePos="0" relativeHeight="1552">
            <wp:simplePos x="0" y="0"/>
            <wp:positionH relativeFrom="page">
              <wp:posOffset>288925</wp:posOffset>
            </wp:positionH>
            <wp:positionV relativeFrom="page">
              <wp:posOffset>634</wp:posOffset>
            </wp:positionV>
            <wp:extent cx="474344" cy="10691748"/>
            <wp:effectExtent l="0" t="0" r="0" b="0"/>
            <wp:wrapNone/>
            <wp:docPr id="21" name="image9.png" descr=""/>
            <wp:cNvGraphicFramePr>
              <a:graphicFrameLocks noChangeAspect="1"/>
            </wp:cNvGraphicFramePr>
            <a:graphic>
              <a:graphicData uri="http://schemas.openxmlformats.org/drawingml/2006/picture">
                <pic:pic>
                  <pic:nvPicPr>
                    <pic:cNvPr id="22" name="image9.png"/>
                    <pic:cNvPicPr/>
                  </pic:nvPicPr>
                  <pic:blipFill>
                    <a:blip r:embed="rId13" cstate="print"/>
                    <a:stretch>
                      <a:fillRect/>
                    </a:stretch>
                  </pic:blipFill>
                  <pic:spPr>
                    <a:xfrm>
                      <a:off x="0" y="0"/>
                      <a:ext cx="474344" cy="10691748"/>
                    </a:xfrm>
                    <a:prstGeom prst="rect">
                      <a:avLst/>
                    </a:prstGeom>
                  </pic:spPr>
                </pic:pic>
              </a:graphicData>
            </a:graphic>
          </wp:anchor>
        </w:drawing>
      </w:r>
    </w:p>
    <w:p>
      <w:pPr>
        <w:pStyle w:val="BodyText"/>
        <w:rPr>
          <w:rFonts w:ascii="Arial"/>
          <w:sz w:val="20"/>
        </w:rPr>
      </w:pPr>
    </w:p>
    <w:p>
      <w:pPr>
        <w:pStyle w:val="BodyText"/>
        <w:spacing w:before="2"/>
        <w:rPr>
          <w:rFonts w:ascii="Arial"/>
          <w:sz w:val="23"/>
        </w:rPr>
      </w:pPr>
    </w:p>
    <w:p>
      <w:pPr>
        <w:pStyle w:val="Heading3"/>
        <w:numPr>
          <w:ilvl w:val="0"/>
          <w:numId w:val="2"/>
        </w:numPr>
        <w:tabs>
          <w:tab w:pos="2346" w:val="left" w:leader="none"/>
        </w:tabs>
        <w:spacing w:line="240" w:lineRule="auto" w:before="0" w:after="0"/>
        <w:ind w:left="2345" w:right="0" w:hanging="360"/>
        <w:jc w:val="left"/>
      </w:pPr>
      <w:bookmarkStart w:name="_bookmark2" w:id="5"/>
      <w:bookmarkEnd w:id="5"/>
      <w:r>
        <w:rPr>
          <w:b w:val="0"/>
        </w:rPr>
      </w:r>
      <w:bookmarkStart w:name="_bookmark2" w:id="6"/>
      <w:bookmarkEnd w:id="6"/>
      <w:r>
        <w:rPr/>
        <w:t>CONHE</w:t>
      </w:r>
      <w:r>
        <w:rPr/>
        <w:t>CENDO AS BARRAGENS.</w:t>
      </w:r>
    </w:p>
    <w:p>
      <w:pPr>
        <w:pStyle w:val="BodyText"/>
        <w:rPr>
          <w:b/>
          <w:sz w:val="26"/>
        </w:rPr>
      </w:pPr>
    </w:p>
    <w:p>
      <w:pPr>
        <w:pStyle w:val="BodyText"/>
        <w:spacing w:line="360" w:lineRule="auto" w:before="193"/>
        <w:ind w:left="1702" w:right="1699"/>
        <w:jc w:val="both"/>
      </w:pPr>
      <w:r>
        <w:rPr/>
        <w:t>Para que possamos promover uma abordagem crítica sobre o assunto, destacaremos alguns aspectos legais e estruturais.</w:t>
      </w:r>
    </w:p>
    <w:p>
      <w:pPr>
        <w:pStyle w:val="BodyText"/>
        <w:spacing w:before="9"/>
        <w:rPr>
          <w:sz w:val="23"/>
        </w:rPr>
      </w:pPr>
    </w:p>
    <w:p>
      <w:pPr>
        <w:pStyle w:val="ListParagraph"/>
        <w:numPr>
          <w:ilvl w:val="1"/>
          <w:numId w:val="3"/>
        </w:numPr>
        <w:tabs>
          <w:tab w:pos="2785" w:val="left" w:leader="none"/>
        </w:tabs>
        <w:spacing w:line="240" w:lineRule="auto" w:before="1" w:after="0"/>
        <w:ind w:left="2784" w:right="0" w:hanging="374"/>
        <w:jc w:val="left"/>
        <w:rPr>
          <w:b/>
          <w:sz w:val="26"/>
        </w:rPr>
      </w:pPr>
      <w:bookmarkStart w:name="_bookmark3" w:id="7"/>
      <w:bookmarkEnd w:id="7"/>
      <w:r>
        <w:rPr/>
      </w:r>
      <w:bookmarkStart w:name="_bookmark3" w:id="8"/>
      <w:bookmarkEnd w:id="8"/>
      <w:r>
        <w:rPr>
          <w:b/>
          <w:sz w:val="26"/>
        </w:rPr>
        <w:t>Do</w:t>
      </w:r>
      <w:r>
        <w:rPr>
          <w:b/>
          <w:sz w:val="26"/>
        </w:rPr>
        <w:t> ponto de vista legal, extraímos os seguintes</w:t>
      </w:r>
      <w:r>
        <w:rPr>
          <w:b/>
          <w:spacing w:val="-6"/>
          <w:sz w:val="26"/>
        </w:rPr>
        <w:t> </w:t>
      </w:r>
      <w:r>
        <w:rPr>
          <w:b/>
          <w:sz w:val="26"/>
        </w:rPr>
        <w:t>diplomas</w:t>
      </w:r>
      <w:r>
        <w:rPr>
          <w:b/>
          <w:sz w:val="26"/>
          <w:vertAlign w:val="superscript"/>
        </w:rPr>
        <w:t>2</w:t>
      </w:r>
      <w:r>
        <w:rPr>
          <w:b/>
          <w:sz w:val="26"/>
          <w:vertAlign w:val="baseline"/>
        </w:rPr>
        <w:t>:</w:t>
      </w:r>
    </w:p>
    <w:p>
      <w:pPr>
        <w:pStyle w:val="BodyText"/>
        <w:rPr>
          <w:b/>
          <w:sz w:val="30"/>
        </w:rPr>
      </w:pPr>
    </w:p>
    <w:p>
      <w:pPr>
        <w:pStyle w:val="BodyText"/>
        <w:spacing w:before="10"/>
        <w:rPr>
          <w:b/>
          <w:sz w:val="42"/>
        </w:rPr>
      </w:pPr>
    </w:p>
    <w:p>
      <w:pPr>
        <w:spacing w:line="360" w:lineRule="auto" w:before="0"/>
        <w:ind w:left="1702" w:right="1696" w:firstLine="0"/>
        <w:jc w:val="both"/>
        <w:rPr>
          <w:sz w:val="24"/>
        </w:rPr>
      </w:pPr>
      <w:r>
        <w:rPr>
          <w:b/>
          <w:i/>
          <w:sz w:val="24"/>
        </w:rPr>
        <w:t>Lei nº 23.291, de 25 de fevereiro de 2019: Institui a Política Estadual de Segurança  </w:t>
      </w:r>
      <w:r>
        <w:rPr>
          <w:b/>
          <w:i/>
          <w:sz w:val="24"/>
        </w:rPr>
        <w:t>de Barragens</w:t>
      </w:r>
      <w:r>
        <w:rPr>
          <w:sz w:val="24"/>
        </w:rPr>
        <w:t>,  a  ser  implementada  de  forma  articulada  com  a  Política  Nacional  de Segurança de Barragens – PNSB, estabelecida pela Lei Federal nº 12.334, de 20-09- 2010, e com as Políticas Nacional e Estadual de Meio Ambiente e de Proteção e Defesa Civil. Publicado no Diário Estadual de Minas Gerais do dia</w:t>
      </w:r>
      <w:r>
        <w:rPr>
          <w:spacing w:val="-1"/>
          <w:sz w:val="24"/>
        </w:rPr>
        <w:t> </w:t>
      </w:r>
      <w:r>
        <w:rPr>
          <w:sz w:val="24"/>
        </w:rPr>
        <w:t>26/02/2019.</w:t>
      </w:r>
    </w:p>
    <w:p>
      <w:pPr>
        <w:pStyle w:val="BodyText"/>
        <w:spacing w:before="3"/>
        <w:rPr>
          <w:sz w:val="23"/>
        </w:rPr>
      </w:pPr>
    </w:p>
    <w:p>
      <w:pPr>
        <w:spacing w:line="360" w:lineRule="auto" w:before="1"/>
        <w:ind w:left="1702" w:right="1699" w:firstLine="0"/>
        <w:jc w:val="both"/>
        <w:rPr>
          <w:sz w:val="24"/>
        </w:rPr>
      </w:pPr>
      <w:r>
        <w:rPr>
          <w:b/>
          <w:i/>
          <w:sz w:val="24"/>
        </w:rPr>
        <w:t>Resolução nº 04, de 15 de fevereiro de 2019, expedida pela Agência Nacional de </w:t>
      </w:r>
      <w:r>
        <w:rPr>
          <w:b/>
          <w:i/>
          <w:sz w:val="24"/>
        </w:rPr>
        <w:t>Mineração-ANM: </w:t>
      </w:r>
      <w:r>
        <w:rPr>
          <w:sz w:val="24"/>
        </w:rPr>
        <w:t>Estabelece medidas regulatórias cautelares objetivando assegurar a estabilidade de barragens de mineração, notadamente aquelas construídas ou alteadas pelo método denominado "a montante" ou por método declarado como desconhecido.</w:t>
      </w:r>
    </w:p>
    <w:p>
      <w:pPr>
        <w:pStyle w:val="BodyText"/>
        <w:spacing w:before="8"/>
        <w:rPr>
          <w:sz w:val="25"/>
        </w:rPr>
      </w:pPr>
    </w:p>
    <w:p>
      <w:pPr>
        <w:pStyle w:val="BodyText"/>
        <w:spacing w:line="360" w:lineRule="auto"/>
        <w:ind w:left="1702" w:right="1696"/>
        <w:jc w:val="both"/>
      </w:pPr>
      <w:r>
        <w:rPr>
          <w:b/>
          <w:i/>
        </w:rPr>
        <w:t>Portaria nº 70.389, de 17 de maio de 2017</w:t>
      </w:r>
      <w:r>
        <w:rPr>
          <w:b/>
        </w:rPr>
        <w:t>: </w:t>
      </w:r>
      <w:r>
        <w:rPr/>
        <w:t>Cria o Cadastro Nacional de Barragens de Mineração, o Sistema Integrado de Gestão em Segurança de Barragens de Mineração e estabelece a periodicidade de execução ou atualização, a qualificação dos responsáveis técnicos, o conteúdo mínimo e o nível de detalhamento do Plano de Segurança da Barragem, das Inspeções de Segurança Regular e Especial, da Revisão Periódica de Segurança de Barragem e do Plano de Ação de Emergência para Barragens de Mineração, conforme art. 8°, 9°, 10, 11 e 12 da Lei n° 12.334 de 20 de setembro de 2010, que estabelece a Política Nacional de Segurança de Barragens - PNSB. Retificação Portaria 70389-2017 - DOU 10-11-2017. Retificação Portaria 70389-2017 - DOU</w:t>
      </w:r>
      <w:r>
        <w:rPr>
          <w:spacing w:val="-1"/>
        </w:rPr>
        <w:t> </w:t>
      </w:r>
      <w:r>
        <w:rPr/>
        <w:t>05-06-2017</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11"/>
        </w:rPr>
      </w:pPr>
      <w:r>
        <w:rPr/>
        <w:pict>
          <v:line style="position:absolute;mso-position-horizontal-relative:page;mso-position-vertical-relative:paragraph;z-index:-568;mso-wrap-distance-left:0;mso-wrap-distance-right:0" from="85.103996pt,8.945375pt" to="229.123996pt,8.945375pt" stroked="true" strokeweight=".72003pt" strokecolor="#000000">
            <v:stroke dashstyle="solid"/>
            <w10:wrap type="topAndBottom"/>
          </v:line>
        </w:pict>
      </w:r>
    </w:p>
    <w:p>
      <w:pPr>
        <w:spacing w:line="254" w:lineRule="auto" w:before="41"/>
        <w:ind w:left="1702" w:right="1935" w:firstLine="0"/>
        <w:jc w:val="left"/>
        <w:rPr>
          <w:rFonts w:ascii="Arial" w:hAnsi="Arial"/>
          <w:sz w:val="20"/>
        </w:rPr>
      </w:pPr>
      <w:r>
        <w:rPr>
          <w:rFonts w:ascii="Arial" w:hAnsi="Arial"/>
          <w:w w:val="95"/>
          <w:position w:val="10"/>
          <w:sz w:val="13"/>
        </w:rPr>
        <w:t>2</w:t>
      </w:r>
      <w:r>
        <w:rPr>
          <w:rFonts w:ascii="Arial" w:hAnsi="Arial"/>
          <w:spacing w:val="-6"/>
          <w:w w:val="95"/>
          <w:position w:val="10"/>
          <w:sz w:val="13"/>
        </w:rPr>
        <w:t> </w:t>
      </w:r>
      <w:r>
        <w:rPr>
          <w:rFonts w:ascii="Arial" w:hAnsi="Arial"/>
          <w:w w:val="95"/>
          <w:sz w:val="20"/>
        </w:rPr>
        <w:t>ANM-Agência</w:t>
      </w:r>
      <w:r>
        <w:rPr>
          <w:rFonts w:ascii="Arial" w:hAnsi="Arial"/>
          <w:spacing w:val="-25"/>
          <w:w w:val="95"/>
          <w:sz w:val="20"/>
        </w:rPr>
        <w:t> </w:t>
      </w:r>
      <w:r>
        <w:rPr>
          <w:rFonts w:ascii="Arial" w:hAnsi="Arial"/>
          <w:w w:val="95"/>
          <w:sz w:val="20"/>
        </w:rPr>
        <w:t>Nacional</w:t>
      </w:r>
      <w:r>
        <w:rPr>
          <w:rFonts w:ascii="Arial" w:hAnsi="Arial"/>
          <w:spacing w:val="-23"/>
          <w:w w:val="95"/>
          <w:sz w:val="20"/>
        </w:rPr>
        <w:t> </w:t>
      </w:r>
      <w:r>
        <w:rPr>
          <w:rFonts w:ascii="Arial" w:hAnsi="Arial"/>
          <w:w w:val="95"/>
          <w:sz w:val="20"/>
        </w:rPr>
        <w:t>de</w:t>
      </w:r>
      <w:r>
        <w:rPr>
          <w:rFonts w:ascii="Arial" w:hAnsi="Arial"/>
          <w:spacing w:val="-25"/>
          <w:w w:val="95"/>
          <w:sz w:val="20"/>
        </w:rPr>
        <w:t> </w:t>
      </w:r>
      <w:r>
        <w:rPr>
          <w:rFonts w:ascii="Arial" w:hAnsi="Arial"/>
          <w:w w:val="95"/>
          <w:sz w:val="20"/>
        </w:rPr>
        <w:t>Mineração</w:t>
      </w:r>
      <w:r>
        <w:rPr>
          <w:rFonts w:ascii="Arial" w:hAnsi="Arial"/>
          <w:spacing w:val="-23"/>
          <w:w w:val="95"/>
          <w:sz w:val="20"/>
        </w:rPr>
        <w:t> </w:t>
      </w:r>
      <w:r>
        <w:rPr>
          <w:rFonts w:ascii="Arial" w:hAnsi="Arial"/>
          <w:w w:val="95"/>
          <w:sz w:val="20"/>
        </w:rPr>
        <w:t>(por</w:t>
      </w:r>
      <w:r>
        <w:rPr>
          <w:rFonts w:ascii="Arial" w:hAnsi="Arial"/>
          <w:spacing w:val="-24"/>
          <w:w w:val="95"/>
          <w:sz w:val="20"/>
        </w:rPr>
        <w:t> </w:t>
      </w:r>
      <w:r>
        <w:rPr>
          <w:rFonts w:ascii="Arial" w:hAnsi="Arial"/>
          <w:w w:val="95"/>
          <w:sz w:val="20"/>
        </w:rPr>
        <w:t>DNPM</w:t>
      </w:r>
      <w:r>
        <w:rPr>
          <w:rFonts w:ascii="Arial" w:hAnsi="Arial"/>
          <w:spacing w:val="-23"/>
          <w:w w:val="95"/>
          <w:sz w:val="20"/>
        </w:rPr>
        <w:t> </w:t>
      </w:r>
      <w:r>
        <w:rPr>
          <w:rFonts w:ascii="Arial" w:hAnsi="Arial"/>
          <w:w w:val="95"/>
          <w:sz w:val="20"/>
        </w:rPr>
        <w:t>-</w:t>
      </w:r>
      <w:r>
        <w:rPr>
          <w:rFonts w:ascii="Arial" w:hAnsi="Arial"/>
          <w:spacing w:val="-24"/>
          <w:w w:val="95"/>
          <w:sz w:val="20"/>
        </w:rPr>
        <w:t> </w:t>
      </w:r>
      <w:r>
        <w:rPr>
          <w:rFonts w:ascii="Arial" w:hAnsi="Arial"/>
          <w:w w:val="95"/>
          <w:sz w:val="20"/>
        </w:rPr>
        <w:t>publicado</w:t>
      </w:r>
      <w:r>
        <w:rPr>
          <w:rFonts w:ascii="Arial" w:hAnsi="Arial"/>
          <w:spacing w:val="-24"/>
          <w:w w:val="95"/>
          <w:sz w:val="20"/>
        </w:rPr>
        <w:t> </w:t>
      </w:r>
      <w:r>
        <w:rPr>
          <w:rFonts w:ascii="Arial" w:hAnsi="Arial"/>
          <w:w w:val="95"/>
          <w:sz w:val="20"/>
        </w:rPr>
        <w:t>04/02/2015</w:t>
      </w:r>
      <w:r>
        <w:rPr>
          <w:rFonts w:ascii="Arial" w:hAnsi="Arial"/>
          <w:spacing w:val="-24"/>
          <w:w w:val="95"/>
          <w:sz w:val="20"/>
        </w:rPr>
        <w:t> </w:t>
      </w:r>
      <w:r>
        <w:rPr>
          <w:rFonts w:ascii="Arial" w:hAnsi="Arial"/>
          <w:w w:val="95"/>
          <w:sz w:val="20"/>
        </w:rPr>
        <w:t>10h36,</w:t>
      </w:r>
      <w:r>
        <w:rPr>
          <w:rFonts w:ascii="Arial" w:hAnsi="Arial"/>
          <w:spacing w:val="-24"/>
          <w:w w:val="95"/>
          <w:sz w:val="20"/>
        </w:rPr>
        <w:t> </w:t>
      </w:r>
      <w:r>
        <w:rPr>
          <w:rFonts w:ascii="Arial" w:hAnsi="Arial"/>
          <w:w w:val="95"/>
          <w:sz w:val="20"/>
        </w:rPr>
        <w:t>última</w:t>
      </w:r>
      <w:r>
        <w:rPr>
          <w:rFonts w:ascii="Arial" w:hAnsi="Arial"/>
          <w:spacing w:val="-23"/>
          <w:w w:val="95"/>
          <w:sz w:val="20"/>
        </w:rPr>
        <w:t> </w:t>
      </w:r>
      <w:r>
        <w:rPr>
          <w:rFonts w:ascii="Arial" w:hAnsi="Arial"/>
          <w:w w:val="95"/>
          <w:sz w:val="20"/>
        </w:rPr>
        <w:t>modificação 22/06/2018</w:t>
      </w:r>
      <w:r>
        <w:rPr>
          <w:rFonts w:ascii="Arial" w:hAnsi="Arial"/>
          <w:spacing w:val="-32"/>
          <w:w w:val="95"/>
          <w:sz w:val="20"/>
        </w:rPr>
        <w:t> </w:t>
      </w:r>
      <w:r>
        <w:rPr>
          <w:rFonts w:ascii="Arial" w:hAnsi="Arial"/>
          <w:w w:val="95"/>
          <w:sz w:val="20"/>
        </w:rPr>
        <w:t>15h35)</w:t>
      </w:r>
      <w:r>
        <w:rPr>
          <w:rFonts w:ascii="Arial" w:hAnsi="Arial"/>
          <w:spacing w:val="-32"/>
          <w:w w:val="95"/>
          <w:sz w:val="20"/>
        </w:rPr>
        <w:t> </w:t>
      </w:r>
      <w:r>
        <w:rPr>
          <w:rFonts w:ascii="Arial" w:hAnsi="Arial"/>
          <w:w w:val="95"/>
          <w:sz w:val="20"/>
        </w:rPr>
        <w:t>Acessado</w:t>
      </w:r>
      <w:r>
        <w:rPr>
          <w:rFonts w:ascii="Arial" w:hAnsi="Arial"/>
          <w:spacing w:val="-30"/>
          <w:w w:val="95"/>
          <w:sz w:val="20"/>
        </w:rPr>
        <w:t> </w:t>
      </w:r>
      <w:r>
        <w:rPr>
          <w:rFonts w:ascii="Arial" w:hAnsi="Arial"/>
          <w:w w:val="95"/>
          <w:sz w:val="20"/>
        </w:rPr>
        <w:t>em:</w:t>
      </w:r>
      <w:r>
        <w:rPr>
          <w:rFonts w:ascii="Arial" w:hAnsi="Arial"/>
          <w:spacing w:val="-31"/>
          <w:w w:val="95"/>
          <w:sz w:val="20"/>
        </w:rPr>
        <w:t> </w:t>
      </w:r>
      <w:hyperlink r:id="rId15">
        <w:r>
          <w:rPr>
            <w:rFonts w:ascii="Arial" w:hAnsi="Arial"/>
            <w:w w:val="95"/>
            <w:sz w:val="20"/>
          </w:rPr>
          <w:t>http://www.anm.gov.br/assuntos/barragens/legislacao-barragens</w:t>
        </w:r>
      </w:hyperlink>
    </w:p>
    <w:p>
      <w:pPr>
        <w:pStyle w:val="BodyText"/>
        <w:spacing w:before="2"/>
        <w:rPr>
          <w:rFonts w:ascii="Arial"/>
          <w:sz w:val="25"/>
        </w:rPr>
      </w:pPr>
      <w:r>
        <w:rPr/>
        <w:pict>
          <v:shape style="position:absolute;margin-left:475.660004pt;margin-top:15.721045pt;width:40.450pt;height:55.95pt;mso-position-horizontal-relative:page;mso-position-vertical-relative:paragraph;z-index:-544;mso-wrap-distance-left:0;mso-wrap-distance-right:0" type="#_x0000_t202" filled="true" fillcolor="#6fac46" stroked="false">
            <v:textbox inset="0,0,0,0">
              <w:txbxContent>
                <w:p>
                  <w:pPr>
                    <w:pStyle w:val="BodyText"/>
                    <w:spacing w:before="10"/>
                    <w:rPr>
                      <w:rFonts w:ascii="Arial"/>
                      <w:sz w:val="29"/>
                    </w:rPr>
                  </w:pPr>
                </w:p>
                <w:p>
                  <w:pPr>
                    <w:spacing w:before="0"/>
                    <w:ind w:left="0" w:right="0" w:firstLine="0"/>
                    <w:jc w:val="center"/>
                    <w:rPr>
                      <w:rFonts w:ascii="Arial"/>
                      <w:sz w:val="36"/>
                    </w:rPr>
                  </w:pPr>
                  <w:r>
                    <w:rPr>
                      <w:rFonts w:ascii="Arial"/>
                      <w:color w:val="FFFFFF"/>
                      <w:w w:val="91"/>
                      <w:sz w:val="36"/>
                    </w:rPr>
                    <w:t>6</w:t>
                  </w:r>
                </w:p>
              </w:txbxContent>
            </v:textbox>
            <v:fill type="solid"/>
            <w10:wrap type="topAndBottom"/>
          </v:shape>
        </w:pict>
      </w:r>
    </w:p>
    <w:p>
      <w:pPr>
        <w:spacing w:after="0"/>
        <w:rPr>
          <w:rFonts w:ascii="Arial"/>
          <w:sz w:val="25"/>
        </w:rPr>
        <w:sectPr>
          <w:type w:val="continuous"/>
          <w:pgSz w:w="11910" w:h="16840"/>
          <w:pgMar w:top="0" w:bottom="280" w:left="0" w:right="0"/>
        </w:sectPr>
      </w:pPr>
    </w:p>
    <w:p>
      <w:pPr>
        <w:pStyle w:val="BodyText"/>
        <w:rPr>
          <w:rFonts w:ascii="Arial"/>
          <w:sz w:val="20"/>
        </w:rPr>
      </w:pPr>
    </w:p>
    <w:p>
      <w:pPr>
        <w:pStyle w:val="BodyText"/>
        <w:rPr>
          <w:rFonts w:ascii="Arial"/>
          <w:sz w:val="20"/>
        </w:rPr>
      </w:pPr>
    </w:p>
    <w:p>
      <w:pPr>
        <w:pStyle w:val="BodyText"/>
        <w:spacing w:before="1"/>
        <w:rPr>
          <w:rFonts w:ascii="Arial"/>
          <w:sz w:val="18"/>
        </w:rPr>
      </w:pPr>
    </w:p>
    <w:p>
      <w:pPr>
        <w:spacing w:after="0"/>
        <w:rPr>
          <w:rFonts w:ascii="Arial"/>
          <w:sz w:val="18"/>
        </w:rPr>
        <w:sectPr>
          <w:pgSz w:w="11910" w:h="16840"/>
          <w:pgMar w:top="0" w:bottom="0" w:left="0" w:right="0"/>
        </w:sectPr>
      </w:pPr>
    </w:p>
    <w:p>
      <w:pPr>
        <w:pStyle w:val="Heading1"/>
        <w:spacing w:line="172" w:lineRule="auto"/>
      </w:pPr>
      <w:r>
        <w:rPr/>
        <w:drawing>
          <wp:anchor distT="0" distB="0" distL="0" distR="0" allowOverlap="1" layoutInCell="1" locked="0" behindDoc="0" simplePos="0" relativeHeight="1600">
            <wp:simplePos x="0" y="0"/>
            <wp:positionH relativeFrom="page">
              <wp:posOffset>979932</wp:posOffset>
            </wp:positionH>
            <wp:positionV relativeFrom="paragraph">
              <wp:posOffset>-9589</wp:posOffset>
            </wp:positionV>
            <wp:extent cx="1478280" cy="612648"/>
            <wp:effectExtent l="0" t="0" r="0" b="0"/>
            <wp:wrapNone/>
            <wp:docPr id="23" name="image8.png" descr=""/>
            <wp:cNvGraphicFramePr>
              <a:graphicFrameLocks noChangeAspect="1"/>
            </wp:cNvGraphicFramePr>
            <a:graphic>
              <a:graphicData uri="http://schemas.openxmlformats.org/drawingml/2006/picture">
                <pic:pic>
                  <pic:nvPicPr>
                    <pic:cNvPr id="24" name="image8.png"/>
                    <pic:cNvPicPr/>
                  </pic:nvPicPr>
                  <pic:blipFill>
                    <a:blip r:embed="rId12" cstate="print"/>
                    <a:stretch>
                      <a:fillRect/>
                    </a:stretch>
                  </pic:blipFill>
                  <pic:spPr>
                    <a:xfrm>
                      <a:off x="0" y="0"/>
                      <a:ext cx="1478280" cy="612648"/>
                    </a:xfrm>
                    <a:prstGeom prst="rect">
                      <a:avLst/>
                    </a:prstGeom>
                  </pic:spPr>
                </pic:pic>
              </a:graphicData>
            </a:graphic>
          </wp:anchor>
        </w:drawing>
      </w:r>
      <w:r>
        <w:rPr>
          <w:color w:val="385522"/>
        </w:rPr>
        <w:t>meio </w:t>
      </w:r>
      <w:r>
        <w:rPr>
          <w:color w:val="385522"/>
          <w:w w:val="95"/>
        </w:rPr>
        <w:t>ambiente</w:t>
      </w:r>
    </w:p>
    <w:p>
      <w:pPr>
        <w:spacing w:before="60"/>
        <w:ind w:left="455" w:right="0" w:firstLine="0"/>
        <w:jc w:val="left"/>
        <w:rPr>
          <w:rFonts w:ascii="Arial" w:hAnsi="Arial"/>
          <w:sz w:val="22"/>
        </w:rPr>
      </w:pPr>
      <w:r>
        <w:rPr/>
        <w:br w:type="column"/>
      </w:r>
      <w:r>
        <w:rPr>
          <w:rFonts w:ascii="Arial" w:hAnsi="Arial"/>
          <w:color w:val="385522"/>
          <w:sz w:val="22"/>
        </w:rPr>
        <w:t>Plano Municipal de Segurança de Barragens-PMSB</w:t>
      </w:r>
    </w:p>
    <w:p>
      <w:pPr>
        <w:spacing w:after="0"/>
        <w:jc w:val="left"/>
        <w:rPr>
          <w:rFonts w:ascii="Arial" w:hAnsi="Arial"/>
          <w:sz w:val="22"/>
        </w:rPr>
        <w:sectPr>
          <w:type w:val="continuous"/>
          <w:pgSz w:w="11910" w:h="16840"/>
          <w:pgMar w:top="0" w:bottom="280" w:left="0" w:right="0"/>
          <w:cols w:num="2" w:equalWidth="0">
            <w:col w:w="5155" w:space="77"/>
            <w:col w:w="6678"/>
          </w:cols>
        </w:sectPr>
      </w:pPr>
    </w:p>
    <w:p>
      <w:pPr>
        <w:pStyle w:val="BodyText"/>
        <w:rPr>
          <w:rFonts w:ascii="Arial"/>
          <w:sz w:val="20"/>
        </w:rPr>
      </w:pPr>
      <w:r>
        <w:rPr/>
        <w:drawing>
          <wp:anchor distT="0" distB="0" distL="0" distR="0" allowOverlap="1" layoutInCell="1" locked="0" behindDoc="0" simplePos="0" relativeHeight="1624">
            <wp:simplePos x="0" y="0"/>
            <wp:positionH relativeFrom="page">
              <wp:posOffset>288925</wp:posOffset>
            </wp:positionH>
            <wp:positionV relativeFrom="page">
              <wp:posOffset>634</wp:posOffset>
            </wp:positionV>
            <wp:extent cx="474344" cy="10691748"/>
            <wp:effectExtent l="0" t="0" r="0" b="0"/>
            <wp:wrapNone/>
            <wp:docPr id="25" name="image9.png" descr=""/>
            <wp:cNvGraphicFramePr>
              <a:graphicFrameLocks noChangeAspect="1"/>
            </wp:cNvGraphicFramePr>
            <a:graphic>
              <a:graphicData uri="http://schemas.openxmlformats.org/drawingml/2006/picture">
                <pic:pic>
                  <pic:nvPicPr>
                    <pic:cNvPr id="26" name="image9.png"/>
                    <pic:cNvPicPr/>
                  </pic:nvPicPr>
                  <pic:blipFill>
                    <a:blip r:embed="rId13" cstate="print"/>
                    <a:stretch>
                      <a:fillRect/>
                    </a:stretch>
                  </pic:blipFill>
                  <pic:spPr>
                    <a:xfrm>
                      <a:off x="0" y="0"/>
                      <a:ext cx="474344" cy="10691748"/>
                    </a:xfrm>
                    <a:prstGeom prst="rect">
                      <a:avLst/>
                    </a:prstGeom>
                  </pic:spPr>
                </pic:pic>
              </a:graphicData>
            </a:graphic>
          </wp:anchor>
        </w:drawing>
      </w:r>
    </w:p>
    <w:p>
      <w:pPr>
        <w:pStyle w:val="BodyText"/>
        <w:rPr>
          <w:rFonts w:ascii="Arial"/>
          <w:sz w:val="20"/>
        </w:rPr>
      </w:pPr>
    </w:p>
    <w:p>
      <w:pPr>
        <w:pStyle w:val="BodyText"/>
        <w:spacing w:before="8"/>
        <w:rPr>
          <w:rFonts w:ascii="Arial"/>
          <w:sz w:val="22"/>
        </w:rPr>
      </w:pPr>
    </w:p>
    <w:p>
      <w:pPr>
        <w:pStyle w:val="BodyText"/>
        <w:spacing w:line="360" w:lineRule="auto" w:before="1"/>
        <w:ind w:left="1702" w:right="1699"/>
        <w:jc w:val="both"/>
      </w:pPr>
      <w:r>
        <w:rPr>
          <w:b/>
          <w:i/>
        </w:rPr>
        <w:t>Portaria nº 14, de 15 de janeiro 2016: </w:t>
      </w:r>
      <w:r>
        <w:rPr/>
        <w:t>Estabelece prazo para apresentação de comprovante de entrega das cópias físicas do Plano de Ação de Emergência de Barragem de Mineração (PAEBM) para as Prefeituras e Defesas Civis municipais e estaduais, conforme exigido pelo art. 7º da Portaria nº 526, de 2013, e dá outras providências.</w:t>
      </w:r>
    </w:p>
    <w:p>
      <w:pPr>
        <w:pStyle w:val="BodyText"/>
        <w:spacing w:before="3"/>
        <w:rPr>
          <w:sz w:val="23"/>
        </w:rPr>
      </w:pPr>
    </w:p>
    <w:p>
      <w:pPr>
        <w:pStyle w:val="BodyText"/>
        <w:spacing w:line="360" w:lineRule="auto"/>
        <w:ind w:left="1702" w:right="1696"/>
        <w:jc w:val="both"/>
      </w:pPr>
      <w:r>
        <w:rPr>
          <w:b/>
          <w:i/>
        </w:rPr>
        <w:t>Resolução nº 144, de 10 de julho de 2012: </w:t>
      </w:r>
      <w:r>
        <w:rPr/>
        <w:t>Estabelece diretrizes para implementação da Política Nacional de Segurança de Barragens, aplicação de seus instrumentos e atuação do Sistema Nacional de Informações sobre Segurança de Barragens, em atendimento ao art. 20 da Lei n° 12.334, de 20 de setembro de 2010, que alterou o art. 35 da Lei nº 9.433, de 8 de janeiro de 1997.</w:t>
      </w:r>
    </w:p>
    <w:p>
      <w:pPr>
        <w:pStyle w:val="BodyText"/>
        <w:spacing w:before="4"/>
        <w:rPr>
          <w:sz w:val="23"/>
        </w:rPr>
      </w:pPr>
    </w:p>
    <w:p>
      <w:pPr>
        <w:pStyle w:val="BodyText"/>
        <w:spacing w:line="360" w:lineRule="auto"/>
        <w:ind w:left="1702" w:right="1699"/>
        <w:jc w:val="both"/>
      </w:pPr>
      <w:r>
        <w:rPr>
          <w:b/>
          <w:i/>
        </w:rPr>
        <w:t>Resolução CNRH nº 143, de 10 de julho de 2012: </w:t>
      </w:r>
      <w:r>
        <w:rPr/>
        <w:t>Estabelece critérios gerais de classificação de barragens por categoria de risco, dano potencial associado e pelo volume do reservatório, em atendimento ao art. 7° da Lei n° 12.334, de 20 de setembro de 2010. Anexo I - Matriz de Classificação de Barragens para Disposição de Resíduos e Rejeito e Anexo II - Matriz de Classificação de Barragens de Acumulação de Água</w:t>
      </w:r>
    </w:p>
    <w:p>
      <w:pPr>
        <w:pStyle w:val="BodyText"/>
        <w:spacing w:before="3"/>
        <w:rPr>
          <w:sz w:val="23"/>
        </w:rPr>
      </w:pPr>
    </w:p>
    <w:p>
      <w:pPr>
        <w:pStyle w:val="BodyText"/>
        <w:spacing w:line="360" w:lineRule="auto"/>
        <w:ind w:left="1702" w:right="1696"/>
        <w:jc w:val="both"/>
      </w:pPr>
      <w:r>
        <w:rPr>
          <w:b/>
          <w:i/>
        </w:rPr>
        <w:t>Lei Nº 12.334, de 20 de Setembro de 2010: </w:t>
      </w:r>
      <w:r>
        <w:rPr/>
        <w:t>Estabelece a </w:t>
      </w:r>
      <w:r>
        <w:rPr>
          <w:b/>
        </w:rPr>
        <w:t>Política Nacional de Segurança de Barragens – PNSB</w:t>
      </w:r>
      <w:r>
        <w:rPr/>
        <w:t>, destinadas à acumulação de água para quaisquer usos, à disposição final ou temporária de rejeitos e à acumulação de resíduos  industriais, cria o Sistema Nacional de Informações sobre Segurança de Barragens e altera a redação do art. 35 da </w:t>
      </w:r>
      <w:r>
        <w:rPr>
          <w:spacing w:val="-3"/>
        </w:rPr>
        <w:t>Lei </w:t>
      </w:r>
      <w:r>
        <w:rPr/>
        <w:t>no 9.433, de 8 de janeiro de 1997, e do art. 4º da Lei no 9.984, de 17 de julho de 2000. Os objetivos dessa lei</w:t>
      </w:r>
      <w:r>
        <w:rPr>
          <w:spacing w:val="-5"/>
        </w:rPr>
        <w:t> </w:t>
      </w:r>
      <w:r>
        <w:rPr/>
        <w:t>são:</w:t>
      </w:r>
    </w:p>
    <w:p>
      <w:pPr>
        <w:pStyle w:val="BodyText"/>
        <w:spacing w:before="2"/>
        <w:rPr>
          <w:sz w:val="23"/>
        </w:rPr>
      </w:pPr>
    </w:p>
    <w:p>
      <w:pPr>
        <w:pStyle w:val="ListParagraph"/>
        <w:numPr>
          <w:ilvl w:val="2"/>
          <w:numId w:val="3"/>
        </w:numPr>
        <w:tabs>
          <w:tab w:pos="3126" w:val="left" w:leader="none"/>
        </w:tabs>
        <w:spacing w:line="360" w:lineRule="auto" w:before="1" w:after="0"/>
        <w:ind w:left="3125" w:right="1703" w:hanging="358"/>
        <w:jc w:val="left"/>
        <w:rPr>
          <w:sz w:val="24"/>
        </w:rPr>
      </w:pPr>
      <w:r>
        <w:rPr>
          <w:sz w:val="24"/>
        </w:rPr>
        <w:t>Reduzir a possibilidade de acidentes e suas consequências observando os padrões de segurança de</w:t>
      </w:r>
      <w:r>
        <w:rPr>
          <w:spacing w:val="-1"/>
          <w:sz w:val="24"/>
        </w:rPr>
        <w:t> </w:t>
      </w:r>
      <w:r>
        <w:rPr>
          <w:sz w:val="24"/>
        </w:rPr>
        <w:t>barragens.</w:t>
      </w:r>
    </w:p>
    <w:p>
      <w:pPr>
        <w:pStyle w:val="BodyText"/>
        <w:spacing w:before="9"/>
        <w:rPr>
          <w:sz w:val="20"/>
        </w:rPr>
      </w:pPr>
    </w:p>
    <w:p>
      <w:pPr>
        <w:pStyle w:val="ListParagraph"/>
        <w:numPr>
          <w:ilvl w:val="2"/>
          <w:numId w:val="3"/>
        </w:numPr>
        <w:tabs>
          <w:tab w:pos="3126" w:val="left" w:leader="none"/>
        </w:tabs>
        <w:spacing w:line="362" w:lineRule="auto" w:before="1" w:after="0"/>
        <w:ind w:left="3125" w:right="1703" w:hanging="358"/>
        <w:jc w:val="left"/>
        <w:rPr>
          <w:sz w:val="24"/>
        </w:rPr>
      </w:pPr>
      <w:r>
        <w:rPr>
          <w:sz w:val="24"/>
        </w:rPr>
        <w:t>Regulamentar ações de segurança a serem adotados na fase de planejamento, construção e desativação das barragens.</w:t>
      </w:r>
    </w:p>
    <w:p>
      <w:pPr>
        <w:pStyle w:val="BodyText"/>
        <w:spacing w:before="5"/>
        <w:rPr>
          <w:sz w:val="20"/>
        </w:rPr>
      </w:pPr>
    </w:p>
    <w:p>
      <w:pPr>
        <w:pStyle w:val="ListParagraph"/>
        <w:numPr>
          <w:ilvl w:val="2"/>
          <w:numId w:val="3"/>
        </w:numPr>
        <w:tabs>
          <w:tab w:pos="3126" w:val="left" w:leader="none"/>
        </w:tabs>
        <w:spacing w:line="360" w:lineRule="auto" w:before="0" w:after="0"/>
        <w:ind w:left="3125" w:right="1702" w:hanging="358"/>
        <w:jc w:val="left"/>
        <w:rPr>
          <w:sz w:val="24"/>
        </w:rPr>
      </w:pPr>
      <w:r>
        <w:rPr>
          <w:sz w:val="24"/>
        </w:rPr>
        <w:t>Monitorar e acompanhar as ações de segurança empregadas pelas empresas nas</w:t>
      </w:r>
      <w:r>
        <w:rPr>
          <w:spacing w:val="-1"/>
          <w:sz w:val="24"/>
        </w:rPr>
        <w:t> </w:t>
      </w:r>
      <w:r>
        <w:rPr>
          <w:sz w:val="24"/>
        </w:rPr>
        <w:t>barragens.</w:t>
      </w:r>
    </w:p>
    <w:p>
      <w:pPr>
        <w:pStyle w:val="BodyText"/>
        <w:rPr>
          <w:sz w:val="20"/>
        </w:rPr>
      </w:pPr>
    </w:p>
    <w:p>
      <w:pPr>
        <w:pStyle w:val="BodyText"/>
        <w:rPr>
          <w:sz w:val="20"/>
        </w:rPr>
      </w:pPr>
    </w:p>
    <w:p>
      <w:pPr>
        <w:pStyle w:val="BodyText"/>
        <w:rPr>
          <w:sz w:val="21"/>
        </w:rPr>
      </w:pPr>
      <w:r>
        <w:rPr/>
        <w:pict>
          <v:shape style="position:absolute;margin-left:475.660004pt;margin-top:13.289711pt;width:40.450pt;height:55.95pt;mso-position-horizontal-relative:page;mso-position-vertical-relative:paragraph;z-index:-472;mso-wrap-distance-left:0;mso-wrap-distance-right:0" type="#_x0000_t202" filled="true" fillcolor="#6fac46" stroked="false">
            <v:textbox inset="0,0,0,0">
              <w:txbxContent>
                <w:p>
                  <w:pPr>
                    <w:pStyle w:val="BodyText"/>
                    <w:spacing w:before="10"/>
                    <w:rPr>
                      <w:sz w:val="29"/>
                    </w:rPr>
                  </w:pPr>
                </w:p>
                <w:p>
                  <w:pPr>
                    <w:spacing w:before="0"/>
                    <w:ind w:left="0" w:right="0" w:firstLine="0"/>
                    <w:jc w:val="center"/>
                    <w:rPr>
                      <w:rFonts w:ascii="Arial"/>
                      <w:sz w:val="36"/>
                    </w:rPr>
                  </w:pPr>
                  <w:r>
                    <w:rPr>
                      <w:rFonts w:ascii="Arial"/>
                      <w:color w:val="FFFFFF"/>
                      <w:w w:val="91"/>
                      <w:sz w:val="36"/>
                    </w:rPr>
                    <w:t>7</w:t>
                  </w:r>
                </w:p>
              </w:txbxContent>
            </v:textbox>
            <v:fill type="solid"/>
            <w10:wrap type="topAndBottom"/>
          </v:shape>
        </w:pict>
      </w:r>
    </w:p>
    <w:p>
      <w:pPr>
        <w:spacing w:after="0"/>
        <w:rPr>
          <w:sz w:val="21"/>
        </w:rPr>
        <w:sectPr>
          <w:type w:val="continuous"/>
          <w:pgSz w:w="11910" w:h="16840"/>
          <w:pgMar w:top="0" w:bottom="280" w:left="0" w:right="0"/>
        </w:sectPr>
      </w:pPr>
    </w:p>
    <w:p>
      <w:pPr>
        <w:pStyle w:val="BodyText"/>
        <w:rPr>
          <w:sz w:val="20"/>
        </w:rPr>
      </w:pPr>
    </w:p>
    <w:p>
      <w:pPr>
        <w:pStyle w:val="BodyText"/>
        <w:rPr>
          <w:sz w:val="20"/>
        </w:rPr>
      </w:pPr>
    </w:p>
    <w:p>
      <w:pPr>
        <w:pStyle w:val="BodyText"/>
        <w:spacing w:before="1"/>
        <w:rPr>
          <w:sz w:val="18"/>
        </w:rPr>
      </w:pPr>
    </w:p>
    <w:p>
      <w:pPr>
        <w:spacing w:after="0"/>
        <w:rPr>
          <w:sz w:val="18"/>
        </w:rPr>
        <w:sectPr>
          <w:pgSz w:w="11910" w:h="16840"/>
          <w:pgMar w:top="0" w:bottom="0" w:left="0" w:right="0"/>
        </w:sectPr>
      </w:pPr>
    </w:p>
    <w:p>
      <w:pPr>
        <w:pStyle w:val="Heading1"/>
        <w:spacing w:line="172" w:lineRule="auto"/>
      </w:pPr>
      <w:r>
        <w:rPr/>
        <w:drawing>
          <wp:anchor distT="0" distB="0" distL="0" distR="0" allowOverlap="1" layoutInCell="1" locked="0" behindDoc="0" simplePos="0" relativeHeight="1696">
            <wp:simplePos x="0" y="0"/>
            <wp:positionH relativeFrom="page">
              <wp:posOffset>979932</wp:posOffset>
            </wp:positionH>
            <wp:positionV relativeFrom="paragraph">
              <wp:posOffset>-9589</wp:posOffset>
            </wp:positionV>
            <wp:extent cx="1478280" cy="612648"/>
            <wp:effectExtent l="0" t="0" r="0" b="0"/>
            <wp:wrapNone/>
            <wp:docPr id="27" name="image8.png" descr=""/>
            <wp:cNvGraphicFramePr>
              <a:graphicFrameLocks noChangeAspect="1"/>
            </wp:cNvGraphicFramePr>
            <a:graphic>
              <a:graphicData uri="http://schemas.openxmlformats.org/drawingml/2006/picture">
                <pic:pic>
                  <pic:nvPicPr>
                    <pic:cNvPr id="28" name="image8.png"/>
                    <pic:cNvPicPr/>
                  </pic:nvPicPr>
                  <pic:blipFill>
                    <a:blip r:embed="rId12" cstate="print"/>
                    <a:stretch>
                      <a:fillRect/>
                    </a:stretch>
                  </pic:blipFill>
                  <pic:spPr>
                    <a:xfrm>
                      <a:off x="0" y="0"/>
                      <a:ext cx="1478280" cy="612648"/>
                    </a:xfrm>
                    <a:prstGeom prst="rect">
                      <a:avLst/>
                    </a:prstGeom>
                  </pic:spPr>
                </pic:pic>
              </a:graphicData>
            </a:graphic>
          </wp:anchor>
        </w:drawing>
      </w:r>
      <w:r>
        <w:rPr>
          <w:color w:val="385522"/>
        </w:rPr>
        <w:t>meio </w:t>
      </w:r>
      <w:r>
        <w:rPr>
          <w:color w:val="385522"/>
          <w:w w:val="95"/>
        </w:rPr>
        <w:t>ambiente</w:t>
      </w:r>
    </w:p>
    <w:p>
      <w:pPr>
        <w:spacing w:before="60"/>
        <w:ind w:left="455" w:right="0" w:firstLine="0"/>
        <w:jc w:val="left"/>
        <w:rPr>
          <w:rFonts w:ascii="Arial" w:hAnsi="Arial"/>
          <w:sz w:val="22"/>
        </w:rPr>
      </w:pPr>
      <w:r>
        <w:rPr/>
        <w:br w:type="column"/>
      </w:r>
      <w:r>
        <w:rPr>
          <w:rFonts w:ascii="Arial" w:hAnsi="Arial"/>
          <w:color w:val="385522"/>
          <w:sz w:val="22"/>
        </w:rPr>
        <w:t>Plano Municipal de Segurança de Barragens-PMSB</w:t>
      </w:r>
    </w:p>
    <w:p>
      <w:pPr>
        <w:spacing w:after="0"/>
        <w:jc w:val="left"/>
        <w:rPr>
          <w:rFonts w:ascii="Arial" w:hAnsi="Arial"/>
          <w:sz w:val="22"/>
        </w:rPr>
        <w:sectPr>
          <w:type w:val="continuous"/>
          <w:pgSz w:w="11910" w:h="16840"/>
          <w:pgMar w:top="0" w:bottom="280" w:left="0" w:right="0"/>
          <w:cols w:num="2" w:equalWidth="0">
            <w:col w:w="5155" w:space="77"/>
            <w:col w:w="6678"/>
          </w:cols>
        </w:sectPr>
      </w:pPr>
    </w:p>
    <w:p>
      <w:pPr>
        <w:pStyle w:val="BodyText"/>
        <w:rPr>
          <w:rFonts w:ascii="Arial"/>
          <w:sz w:val="20"/>
        </w:rPr>
      </w:pPr>
      <w:r>
        <w:rPr/>
        <w:drawing>
          <wp:anchor distT="0" distB="0" distL="0" distR="0" allowOverlap="1" layoutInCell="1" locked="0" behindDoc="0" simplePos="0" relativeHeight="1720">
            <wp:simplePos x="0" y="0"/>
            <wp:positionH relativeFrom="page">
              <wp:posOffset>288925</wp:posOffset>
            </wp:positionH>
            <wp:positionV relativeFrom="page">
              <wp:posOffset>634</wp:posOffset>
            </wp:positionV>
            <wp:extent cx="474344" cy="10691748"/>
            <wp:effectExtent l="0" t="0" r="0" b="0"/>
            <wp:wrapNone/>
            <wp:docPr id="29" name="image9.png" descr=""/>
            <wp:cNvGraphicFramePr>
              <a:graphicFrameLocks noChangeAspect="1"/>
            </wp:cNvGraphicFramePr>
            <a:graphic>
              <a:graphicData uri="http://schemas.openxmlformats.org/drawingml/2006/picture">
                <pic:pic>
                  <pic:nvPicPr>
                    <pic:cNvPr id="30" name="image9.png"/>
                    <pic:cNvPicPr/>
                  </pic:nvPicPr>
                  <pic:blipFill>
                    <a:blip r:embed="rId13" cstate="print"/>
                    <a:stretch>
                      <a:fillRect/>
                    </a:stretch>
                  </pic:blipFill>
                  <pic:spPr>
                    <a:xfrm>
                      <a:off x="0" y="0"/>
                      <a:ext cx="474344" cy="10691748"/>
                    </a:xfrm>
                    <a:prstGeom prst="rect">
                      <a:avLst/>
                    </a:prstGeom>
                  </pic:spPr>
                </pic:pic>
              </a:graphicData>
            </a:graphic>
          </wp:anchor>
        </w:drawing>
      </w:r>
    </w:p>
    <w:p>
      <w:pPr>
        <w:pStyle w:val="BodyText"/>
        <w:rPr>
          <w:rFonts w:ascii="Arial"/>
          <w:sz w:val="20"/>
        </w:rPr>
      </w:pPr>
    </w:p>
    <w:p>
      <w:pPr>
        <w:pStyle w:val="BodyText"/>
        <w:spacing w:before="8"/>
        <w:rPr>
          <w:rFonts w:ascii="Arial"/>
          <w:sz w:val="22"/>
        </w:rPr>
      </w:pPr>
    </w:p>
    <w:p>
      <w:pPr>
        <w:pStyle w:val="ListParagraph"/>
        <w:numPr>
          <w:ilvl w:val="2"/>
          <w:numId w:val="3"/>
        </w:numPr>
        <w:tabs>
          <w:tab w:pos="3126" w:val="left" w:leader="none"/>
        </w:tabs>
        <w:spacing w:line="240" w:lineRule="auto" w:before="1" w:after="0"/>
        <w:ind w:left="3125" w:right="0" w:hanging="358"/>
        <w:jc w:val="left"/>
        <w:rPr>
          <w:sz w:val="24"/>
        </w:rPr>
      </w:pPr>
      <w:r>
        <w:rPr>
          <w:sz w:val="24"/>
        </w:rPr>
        <w:t>Controlar as barragens, com base na</w:t>
      </w:r>
      <w:r>
        <w:rPr>
          <w:spacing w:val="-4"/>
          <w:sz w:val="24"/>
        </w:rPr>
        <w:t> </w:t>
      </w:r>
      <w:r>
        <w:rPr>
          <w:sz w:val="24"/>
        </w:rPr>
        <w:t>fiscalização.</w:t>
      </w:r>
    </w:p>
    <w:p>
      <w:pPr>
        <w:pStyle w:val="BodyText"/>
        <w:spacing w:before="8"/>
        <w:rPr>
          <w:sz w:val="32"/>
        </w:rPr>
      </w:pPr>
    </w:p>
    <w:p>
      <w:pPr>
        <w:pStyle w:val="BodyText"/>
        <w:spacing w:line="360" w:lineRule="auto"/>
        <w:ind w:left="1702" w:right="1698"/>
        <w:jc w:val="both"/>
      </w:pPr>
      <w:r>
        <w:rPr/>
        <w:t>Esta lei também trata da distribuição a competência pela segurança das barragens conforme o seu uso, sem prejuízo das ações fiscalizadoras dos demais órgãos ambientais</w:t>
      </w:r>
      <w:r>
        <w:rPr>
          <w:rFonts w:ascii="Arial" w:hAnsi="Arial"/>
          <w:position w:val="10"/>
          <w:sz w:val="14"/>
        </w:rPr>
        <w:t>3</w:t>
      </w:r>
      <w:r>
        <w:rPr/>
        <w:t>:</w:t>
      </w:r>
    </w:p>
    <w:p>
      <w:pPr>
        <w:pStyle w:val="BodyText"/>
        <w:spacing w:before="9"/>
        <w:rPr>
          <w:sz w:val="23"/>
        </w:rPr>
      </w:pPr>
    </w:p>
    <w:tbl>
      <w:tblPr>
        <w:tblW w:w="0" w:type="auto"/>
        <w:jc w:val="left"/>
        <w:tblInd w:w="17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711"/>
        <w:gridCol w:w="4731"/>
      </w:tblGrid>
      <w:tr>
        <w:trPr>
          <w:trHeight w:val="431" w:hRule="atLeast"/>
        </w:trPr>
        <w:tc>
          <w:tcPr>
            <w:tcW w:w="3711" w:type="dxa"/>
            <w:shd w:val="clear" w:color="auto" w:fill="A6A6A6"/>
          </w:tcPr>
          <w:p>
            <w:pPr>
              <w:pStyle w:val="TableParagraph"/>
              <w:spacing w:before="75"/>
              <w:ind w:left="1587" w:right="1580"/>
              <w:jc w:val="center"/>
              <w:rPr>
                <w:b/>
                <w:sz w:val="24"/>
              </w:rPr>
            </w:pPr>
            <w:r>
              <w:rPr>
                <w:b/>
                <w:sz w:val="24"/>
              </w:rPr>
              <w:t>USO</w:t>
            </w:r>
          </w:p>
        </w:tc>
        <w:tc>
          <w:tcPr>
            <w:tcW w:w="4731" w:type="dxa"/>
            <w:shd w:val="clear" w:color="auto" w:fill="A6A6A6"/>
          </w:tcPr>
          <w:p>
            <w:pPr>
              <w:pStyle w:val="TableParagraph"/>
              <w:spacing w:before="75"/>
              <w:ind w:left="520"/>
              <w:rPr>
                <w:b/>
                <w:sz w:val="24"/>
              </w:rPr>
            </w:pPr>
            <w:r>
              <w:rPr>
                <w:b/>
                <w:sz w:val="24"/>
              </w:rPr>
              <w:t>INSTITUIÇÃO FISCALIZADORA</w:t>
            </w:r>
          </w:p>
        </w:tc>
      </w:tr>
      <w:tr>
        <w:trPr>
          <w:trHeight w:val="707" w:hRule="atLeast"/>
        </w:trPr>
        <w:tc>
          <w:tcPr>
            <w:tcW w:w="3711" w:type="dxa"/>
            <w:shd w:val="clear" w:color="auto" w:fill="F5F5F5"/>
          </w:tcPr>
          <w:p>
            <w:pPr>
              <w:pStyle w:val="TableParagraph"/>
              <w:spacing w:before="71"/>
              <w:ind w:left="155"/>
              <w:rPr>
                <w:sz w:val="24"/>
              </w:rPr>
            </w:pPr>
            <w:r>
              <w:rPr>
                <w:sz w:val="24"/>
              </w:rPr>
              <w:t>Acumulação de água</w:t>
            </w:r>
          </w:p>
        </w:tc>
        <w:tc>
          <w:tcPr>
            <w:tcW w:w="4731" w:type="dxa"/>
            <w:shd w:val="clear" w:color="auto" w:fill="F5F5F5"/>
          </w:tcPr>
          <w:p>
            <w:pPr>
              <w:pStyle w:val="TableParagraph"/>
              <w:spacing w:before="71"/>
              <w:ind w:left="155" w:right="359"/>
              <w:rPr>
                <w:sz w:val="24"/>
              </w:rPr>
            </w:pPr>
            <w:r>
              <w:rPr>
                <w:sz w:val="24"/>
              </w:rPr>
              <w:t>A mesma que outorgou o direito de uso dos recursos hídricos.</w:t>
            </w:r>
          </w:p>
        </w:tc>
      </w:tr>
      <w:tr>
        <w:trPr>
          <w:trHeight w:val="710" w:hRule="atLeast"/>
        </w:trPr>
        <w:tc>
          <w:tcPr>
            <w:tcW w:w="3711" w:type="dxa"/>
            <w:shd w:val="clear" w:color="auto" w:fill="F5F5F5"/>
          </w:tcPr>
          <w:p>
            <w:pPr>
              <w:pStyle w:val="TableParagraph"/>
              <w:spacing w:before="71"/>
              <w:ind w:left="155"/>
              <w:rPr>
                <w:sz w:val="24"/>
              </w:rPr>
            </w:pPr>
            <w:r>
              <w:rPr>
                <w:sz w:val="24"/>
              </w:rPr>
              <w:t>Hidroeletricidade</w:t>
            </w:r>
          </w:p>
        </w:tc>
        <w:tc>
          <w:tcPr>
            <w:tcW w:w="4731" w:type="dxa"/>
            <w:shd w:val="clear" w:color="auto" w:fill="F5F5F5"/>
          </w:tcPr>
          <w:p>
            <w:pPr>
              <w:pStyle w:val="TableParagraph"/>
              <w:spacing w:before="71"/>
              <w:ind w:left="155" w:right="420"/>
              <w:rPr>
                <w:sz w:val="24"/>
              </w:rPr>
            </w:pPr>
            <w:r>
              <w:rPr>
                <w:sz w:val="24"/>
              </w:rPr>
              <w:t>A mesma que concedeu ou autorizou o uso do potencial hidráulico.</w:t>
            </w:r>
          </w:p>
        </w:tc>
      </w:tr>
      <w:tr>
        <w:trPr>
          <w:trHeight w:val="707" w:hRule="atLeast"/>
        </w:trPr>
        <w:tc>
          <w:tcPr>
            <w:tcW w:w="3711" w:type="dxa"/>
            <w:shd w:val="clear" w:color="auto" w:fill="F5F5F5"/>
          </w:tcPr>
          <w:p>
            <w:pPr>
              <w:pStyle w:val="TableParagraph"/>
              <w:spacing w:before="68"/>
              <w:ind w:left="155" w:right="273"/>
              <w:rPr>
                <w:sz w:val="24"/>
              </w:rPr>
            </w:pPr>
            <w:r>
              <w:rPr>
                <w:sz w:val="24"/>
              </w:rPr>
              <w:t>Disposição final ou temporária de rejeitos minerais</w:t>
            </w:r>
          </w:p>
        </w:tc>
        <w:tc>
          <w:tcPr>
            <w:tcW w:w="4731" w:type="dxa"/>
            <w:shd w:val="clear" w:color="auto" w:fill="F5F5F5"/>
          </w:tcPr>
          <w:p>
            <w:pPr>
              <w:pStyle w:val="TableParagraph"/>
              <w:spacing w:before="68"/>
              <w:ind w:left="155" w:right="1246"/>
              <w:rPr>
                <w:sz w:val="24"/>
              </w:rPr>
            </w:pPr>
            <w:r>
              <w:rPr>
                <w:sz w:val="24"/>
              </w:rPr>
              <w:t>A mesma que outorgou os direitos minerários. (ANM/DNPM)</w:t>
            </w:r>
          </w:p>
        </w:tc>
      </w:tr>
      <w:tr>
        <w:trPr>
          <w:trHeight w:val="707" w:hRule="atLeast"/>
        </w:trPr>
        <w:tc>
          <w:tcPr>
            <w:tcW w:w="3711" w:type="dxa"/>
            <w:shd w:val="clear" w:color="auto" w:fill="F5F5F5"/>
          </w:tcPr>
          <w:p>
            <w:pPr>
              <w:pStyle w:val="TableParagraph"/>
              <w:spacing w:before="68"/>
              <w:ind w:left="155"/>
              <w:rPr>
                <w:sz w:val="24"/>
              </w:rPr>
            </w:pPr>
            <w:r>
              <w:rPr>
                <w:sz w:val="24"/>
              </w:rPr>
              <w:t>Disposição de resíduos industriais</w:t>
            </w:r>
          </w:p>
        </w:tc>
        <w:tc>
          <w:tcPr>
            <w:tcW w:w="4731" w:type="dxa"/>
            <w:shd w:val="clear" w:color="auto" w:fill="F5F5F5"/>
          </w:tcPr>
          <w:p>
            <w:pPr>
              <w:pStyle w:val="TableParagraph"/>
              <w:spacing w:before="68"/>
              <w:ind w:left="155" w:right="128"/>
              <w:rPr>
                <w:sz w:val="24"/>
              </w:rPr>
            </w:pPr>
            <w:r>
              <w:rPr>
                <w:sz w:val="24"/>
              </w:rPr>
              <w:t>A mesma que forneceu a licença ambiental de instalação e operação.</w:t>
            </w:r>
          </w:p>
        </w:tc>
      </w:tr>
    </w:tbl>
    <w:p>
      <w:pPr>
        <w:pStyle w:val="BodyText"/>
        <w:rPr>
          <w:sz w:val="26"/>
        </w:rPr>
      </w:pPr>
    </w:p>
    <w:p>
      <w:pPr>
        <w:pStyle w:val="BodyText"/>
        <w:spacing w:before="10"/>
        <w:rPr>
          <w:sz w:val="30"/>
        </w:rPr>
      </w:pPr>
    </w:p>
    <w:p>
      <w:pPr>
        <w:pStyle w:val="Heading2"/>
        <w:numPr>
          <w:ilvl w:val="1"/>
          <w:numId w:val="3"/>
        </w:numPr>
        <w:tabs>
          <w:tab w:pos="2799" w:val="left" w:leader="none"/>
        </w:tabs>
        <w:spacing w:line="240" w:lineRule="auto" w:before="1" w:after="0"/>
        <w:ind w:left="2798" w:right="0" w:hanging="388"/>
        <w:jc w:val="left"/>
      </w:pPr>
      <w:bookmarkStart w:name="_bookmark4" w:id="9"/>
      <w:bookmarkEnd w:id="9"/>
      <w:r>
        <w:rPr>
          <w:b w:val="0"/>
        </w:rPr>
      </w:r>
      <w:bookmarkStart w:name="_bookmark4" w:id="10"/>
      <w:bookmarkEnd w:id="10"/>
      <w:r>
        <w:rPr/>
        <w:t>Do</w:t>
      </w:r>
      <w:r>
        <w:rPr/>
        <w:t> ponto de vista estrutural</w:t>
      </w:r>
      <w:r>
        <w:rPr>
          <w:spacing w:val="-4"/>
        </w:rPr>
        <w:t> </w:t>
      </w:r>
      <w:r>
        <w:rPr/>
        <w:t>construtivo.</w:t>
      </w:r>
    </w:p>
    <w:p>
      <w:pPr>
        <w:pStyle w:val="BodyText"/>
        <w:spacing w:before="2"/>
        <w:rPr>
          <w:b/>
          <w:sz w:val="33"/>
        </w:rPr>
      </w:pPr>
    </w:p>
    <w:p>
      <w:pPr>
        <w:spacing w:line="360" w:lineRule="auto" w:before="0"/>
        <w:ind w:left="1702" w:right="1699" w:firstLine="0"/>
        <w:jc w:val="both"/>
        <w:rPr>
          <w:sz w:val="24"/>
        </w:rPr>
      </w:pPr>
      <w:r>
        <w:rPr>
          <w:sz w:val="24"/>
        </w:rPr>
        <w:t>No tocante as estruturas, Maxwell</w:t>
      </w:r>
      <w:r>
        <w:rPr>
          <w:sz w:val="24"/>
          <w:vertAlign w:val="superscript"/>
        </w:rPr>
        <w:t>4</w:t>
      </w:r>
      <w:r>
        <w:rPr>
          <w:sz w:val="24"/>
          <w:vertAlign w:val="baseline"/>
        </w:rPr>
        <w:t> destaca que “</w:t>
      </w:r>
      <w:r>
        <w:rPr>
          <w:i/>
          <w:sz w:val="24"/>
          <w:vertAlign w:val="baseline"/>
        </w:rPr>
        <w:t>uma barragem de rejeito é uma </w:t>
      </w:r>
      <w:r>
        <w:rPr>
          <w:i/>
          <w:sz w:val="24"/>
          <w:vertAlign w:val="baseline"/>
        </w:rPr>
        <w:t>estrutura de terra construída para armazenar resíduos de mineração, os quais são definidos como a fração estéril produzida pelo beneficiamento de minérios, em um processo mecânico e/ou químico que divide o mineral bruto em concentrado e</w:t>
      </w:r>
      <w:r>
        <w:rPr>
          <w:i/>
          <w:spacing w:val="-7"/>
          <w:sz w:val="24"/>
          <w:vertAlign w:val="baseline"/>
        </w:rPr>
        <w:t> </w:t>
      </w:r>
      <w:r>
        <w:rPr>
          <w:i/>
          <w:sz w:val="24"/>
          <w:vertAlign w:val="baseline"/>
        </w:rPr>
        <w:t>rejeito</w:t>
      </w:r>
      <w:r>
        <w:rPr>
          <w:sz w:val="24"/>
          <w:vertAlign w:val="baseline"/>
        </w:rPr>
        <w:t>”.</w:t>
      </w:r>
    </w:p>
    <w:p>
      <w:pPr>
        <w:pStyle w:val="BodyText"/>
        <w:spacing w:before="11"/>
        <w:rPr>
          <w:sz w:val="20"/>
        </w:rPr>
      </w:pPr>
    </w:p>
    <w:p>
      <w:pPr>
        <w:pStyle w:val="BodyText"/>
        <w:spacing w:line="360" w:lineRule="auto"/>
        <w:ind w:left="1702" w:right="1696"/>
        <w:jc w:val="both"/>
      </w:pPr>
      <w:r>
        <w:rPr/>
        <w:t>O rejeito, em tese, é um material que não possui maior valor econômico no momento em que é disposto e considerando a tecnologia de aproveitamento em um determinado tempo produtivo e que, para salvaguardas socioambientais, deve ser devidamente armazenado. Os rejeitos granulares são geralmente dispostos em pilhas e, para os rejeitos finos, com alto grau de saturação - rejeito liquido-pastoso -, utiliza-se a construção de diques ou barragens, para disposição e acumulação deste material, onde são utilizados solo, enrocamento e/ou o próprio rejeito para a</w:t>
      </w:r>
      <w:r>
        <w:rPr>
          <w:spacing w:val="-2"/>
        </w:rPr>
        <w:t> </w:t>
      </w:r>
      <w:r>
        <w:rPr/>
        <w:t>construção.</w:t>
      </w:r>
    </w:p>
    <w:p>
      <w:pPr>
        <w:pStyle w:val="BodyText"/>
        <w:rPr>
          <w:sz w:val="20"/>
        </w:rPr>
      </w:pPr>
    </w:p>
    <w:p>
      <w:pPr>
        <w:pStyle w:val="BodyText"/>
        <w:rPr>
          <w:sz w:val="20"/>
        </w:rPr>
      </w:pPr>
    </w:p>
    <w:p>
      <w:pPr>
        <w:pStyle w:val="BodyText"/>
        <w:rPr>
          <w:sz w:val="20"/>
        </w:rPr>
      </w:pPr>
    </w:p>
    <w:p>
      <w:pPr>
        <w:pStyle w:val="BodyText"/>
        <w:rPr>
          <w:sz w:val="15"/>
        </w:rPr>
      </w:pPr>
      <w:r>
        <w:rPr/>
        <w:pict>
          <v:line style="position:absolute;mso-position-horizontal-relative:page;mso-position-vertical-relative:paragraph;z-index:-400;mso-wrap-distance-left:0;mso-wrap-distance-right:0" from="85.103996pt,11.013843pt" to="229.123996pt,11.013843pt" stroked="true" strokeweight=".72003pt" strokecolor="#000000">
            <v:stroke dashstyle="solid"/>
            <w10:wrap type="topAndBottom"/>
          </v:line>
        </w:pict>
      </w:r>
    </w:p>
    <w:p>
      <w:pPr>
        <w:spacing w:line="255" w:lineRule="exact" w:before="41"/>
        <w:ind w:left="1702" w:right="0" w:firstLine="0"/>
        <w:jc w:val="both"/>
        <w:rPr>
          <w:rFonts w:ascii="Arial"/>
          <w:sz w:val="20"/>
        </w:rPr>
      </w:pPr>
      <w:r>
        <w:rPr>
          <w:rFonts w:ascii="Arial"/>
          <w:position w:val="10"/>
          <w:sz w:val="13"/>
        </w:rPr>
        <w:t>3 </w:t>
      </w:r>
      <w:hyperlink r:id="rId16">
        <w:r>
          <w:rPr>
            <w:rFonts w:ascii="Arial"/>
            <w:sz w:val="20"/>
          </w:rPr>
          <w:t>http://www3.ana.gov.br/portal/ANA/regulacao/saiba-quem-regula/reservatorios</w:t>
        </w:r>
      </w:hyperlink>
    </w:p>
    <w:p>
      <w:pPr>
        <w:spacing w:line="255" w:lineRule="exact" w:before="0"/>
        <w:ind w:left="1702" w:right="0" w:firstLine="0"/>
        <w:jc w:val="both"/>
        <w:rPr>
          <w:rFonts w:ascii="Arial"/>
          <w:sz w:val="20"/>
        </w:rPr>
      </w:pPr>
      <w:r>
        <w:rPr>
          <w:rFonts w:ascii="Arial"/>
          <w:position w:val="10"/>
          <w:sz w:val="13"/>
        </w:rPr>
        <w:t>4 </w:t>
      </w:r>
      <w:r>
        <w:rPr>
          <w:rFonts w:ascii="Arial"/>
          <w:sz w:val="20"/>
        </w:rPr>
        <w:t>https:/</w:t>
      </w:r>
      <w:hyperlink r:id="rId17">
        <w:r>
          <w:rPr>
            <w:rFonts w:ascii="Arial"/>
            <w:sz w:val="20"/>
          </w:rPr>
          <w:t>/w</w:t>
        </w:r>
      </w:hyperlink>
      <w:r>
        <w:rPr>
          <w:rFonts w:ascii="Arial"/>
          <w:sz w:val="20"/>
        </w:rPr>
        <w:t>w</w:t>
      </w:r>
      <w:hyperlink r:id="rId17">
        <w:r>
          <w:rPr>
            <w:rFonts w:ascii="Arial"/>
            <w:sz w:val="20"/>
          </w:rPr>
          <w:t>w.maxwell.vrac.puc-rio.br/20720/20720_3.PDF </w:t>
        </w:r>
      </w:hyperlink>
      <w:r>
        <w:rPr>
          <w:rFonts w:ascii="Arial"/>
          <w:sz w:val="20"/>
        </w:rPr>
        <w:t>- Acessado em Jun/2018</w:t>
      </w:r>
    </w:p>
    <w:p>
      <w:pPr>
        <w:pStyle w:val="BodyText"/>
        <w:spacing w:before="4"/>
        <w:rPr>
          <w:rFonts w:ascii="Arial"/>
          <w:sz w:val="26"/>
        </w:rPr>
      </w:pPr>
      <w:r>
        <w:rPr/>
        <w:pict>
          <v:shape style="position:absolute;margin-left:475.660004pt;margin-top:16.359953pt;width:40.450pt;height:55.95pt;mso-position-horizontal-relative:page;mso-position-vertical-relative:paragraph;z-index:-376;mso-wrap-distance-left:0;mso-wrap-distance-right:0" type="#_x0000_t202" filled="true" fillcolor="#6fac46" stroked="false">
            <v:textbox inset="0,0,0,0">
              <w:txbxContent>
                <w:p>
                  <w:pPr>
                    <w:pStyle w:val="BodyText"/>
                    <w:spacing w:before="10"/>
                    <w:rPr>
                      <w:rFonts w:ascii="Arial"/>
                      <w:sz w:val="29"/>
                    </w:rPr>
                  </w:pPr>
                </w:p>
                <w:p>
                  <w:pPr>
                    <w:spacing w:before="0"/>
                    <w:ind w:left="0" w:right="0" w:firstLine="0"/>
                    <w:jc w:val="center"/>
                    <w:rPr>
                      <w:rFonts w:ascii="Arial"/>
                      <w:sz w:val="36"/>
                    </w:rPr>
                  </w:pPr>
                  <w:r>
                    <w:rPr>
                      <w:rFonts w:ascii="Arial"/>
                      <w:color w:val="FFFFFF"/>
                      <w:w w:val="91"/>
                      <w:sz w:val="36"/>
                    </w:rPr>
                    <w:t>8</w:t>
                  </w:r>
                </w:p>
              </w:txbxContent>
            </v:textbox>
            <v:fill type="solid"/>
            <w10:wrap type="topAndBottom"/>
          </v:shape>
        </w:pict>
      </w:r>
    </w:p>
    <w:p>
      <w:pPr>
        <w:spacing w:after="0"/>
        <w:rPr>
          <w:rFonts w:ascii="Arial"/>
          <w:sz w:val="26"/>
        </w:rPr>
        <w:sectPr>
          <w:type w:val="continuous"/>
          <w:pgSz w:w="11910" w:h="16840"/>
          <w:pgMar w:top="0" w:bottom="280" w:left="0" w:right="0"/>
        </w:sectPr>
      </w:pPr>
    </w:p>
    <w:p>
      <w:pPr>
        <w:pStyle w:val="BodyText"/>
        <w:rPr>
          <w:rFonts w:ascii="Arial"/>
          <w:sz w:val="20"/>
        </w:rPr>
      </w:pPr>
    </w:p>
    <w:p>
      <w:pPr>
        <w:pStyle w:val="BodyText"/>
        <w:rPr>
          <w:rFonts w:ascii="Arial"/>
          <w:sz w:val="20"/>
        </w:rPr>
      </w:pPr>
    </w:p>
    <w:p>
      <w:pPr>
        <w:pStyle w:val="BodyText"/>
        <w:spacing w:before="1"/>
        <w:rPr>
          <w:rFonts w:ascii="Arial"/>
          <w:sz w:val="18"/>
        </w:rPr>
      </w:pPr>
    </w:p>
    <w:p>
      <w:pPr>
        <w:spacing w:after="0"/>
        <w:rPr>
          <w:rFonts w:ascii="Arial"/>
          <w:sz w:val="18"/>
        </w:rPr>
        <w:sectPr>
          <w:pgSz w:w="11910" w:h="16840"/>
          <w:pgMar w:top="0" w:bottom="0" w:left="0" w:right="0"/>
        </w:sectPr>
      </w:pPr>
    </w:p>
    <w:p>
      <w:pPr>
        <w:pStyle w:val="Heading1"/>
        <w:spacing w:line="172" w:lineRule="auto"/>
      </w:pPr>
      <w:r>
        <w:rPr/>
        <w:drawing>
          <wp:anchor distT="0" distB="0" distL="0" distR="0" allowOverlap="1" layoutInCell="1" locked="0" behindDoc="0" simplePos="0" relativeHeight="1768">
            <wp:simplePos x="0" y="0"/>
            <wp:positionH relativeFrom="page">
              <wp:posOffset>979932</wp:posOffset>
            </wp:positionH>
            <wp:positionV relativeFrom="paragraph">
              <wp:posOffset>-9589</wp:posOffset>
            </wp:positionV>
            <wp:extent cx="1478280" cy="612648"/>
            <wp:effectExtent l="0" t="0" r="0" b="0"/>
            <wp:wrapNone/>
            <wp:docPr id="31" name="image8.png" descr=""/>
            <wp:cNvGraphicFramePr>
              <a:graphicFrameLocks noChangeAspect="1"/>
            </wp:cNvGraphicFramePr>
            <a:graphic>
              <a:graphicData uri="http://schemas.openxmlformats.org/drawingml/2006/picture">
                <pic:pic>
                  <pic:nvPicPr>
                    <pic:cNvPr id="32" name="image8.png"/>
                    <pic:cNvPicPr/>
                  </pic:nvPicPr>
                  <pic:blipFill>
                    <a:blip r:embed="rId12" cstate="print"/>
                    <a:stretch>
                      <a:fillRect/>
                    </a:stretch>
                  </pic:blipFill>
                  <pic:spPr>
                    <a:xfrm>
                      <a:off x="0" y="0"/>
                      <a:ext cx="1478280" cy="612648"/>
                    </a:xfrm>
                    <a:prstGeom prst="rect">
                      <a:avLst/>
                    </a:prstGeom>
                  </pic:spPr>
                </pic:pic>
              </a:graphicData>
            </a:graphic>
          </wp:anchor>
        </w:drawing>
      </w:r>
      <w:r>
        <w:rPr>
          <w:color w:val="385522"/>
        </w:rPr>
        <w:t>meio </w:t>
      </w:r>
      <w:r>
        <w:rPr>
          <w:color w:val="385522"/>
          <w:w w:val="95"/>
        </w:rPr>
        <w:t>ambiente</w:t>
      </w:r>
    </w:p>
    <w:p>
      <w:pPr>
        <w:spacing w:before="60"/>
        <w:ind w:left="455" w:right="0" w:firstLine="0"/>
        <w:jc w:val="left"/>
        <w:rPr>
          <w:rFonts w:ascii="Arial" w:hAnsi="Arial"/>
          <w:sz w:val="22"/>
        </w:rPr>
      </w:pPr>
      <w:r>
        <w:rPr/>
        <w:br w:type="column"/>
      </w:r>
      <w:r>
        <w:rPr>
          <w:rFonts w:ascii="Arial" w:hAnsi="Arial"/>
          <w:color w:val="385522"/>
          <w:sz w:val="22"/>
        </w:rPr>
        <w:t>Plano Municipal de Segurança de Barragens-PMSB</w:t>
      </w:r>
    </w:p>
    <w:p>
      <w:pPr>
        <w:spacing w:after="0"/>
        <w:jc w:val="left"/>
        <w:rPr>
          <w:rFonts w:ascii="Arial" w:hAnsi="Arial"/>
          <w:sz w:val="22"/>
        </w:rPr>
        <w:sectPr>
          <w:type w:val="continuous"/>
          <w:pgSz w:w="11910" w:h="16840"/>
          <w:pgMar w:top="0" w:bottom="280" w:left="0" w:right="0"/>
          <w:cols w:num="2" w:equalWidth="0">
            <w:col w:w="5155" w:space="77"/>
            <w:col w:w="6678"/>
          </w:cols>
        </w:sectPr>
      </w:pPr>
    </w:p>
    <w:p>
      <w:pPr>
        <w:pStyle w:val="BodyText"/>
        <w:rPr>
          <w:rFonts w:ascii="Arial"/>
          <w:sz w:val="20"/>
        </w:rPr>
      </w:pPr>
      <w:r>
        <w:rPr/>
        <w:drawing>
          <wp:anchor distT="0" distB="0" distL="0" distR="0" allowOverlap="1" layoutInCell="1" locked="0" behindDoc="0" simplePos="0" relativeHeight="1792">
            <wp:simplePos x="0" y="0"/>
            <wp:positionH relativeFrom="page">
              <wp:posOffset>288925</wp:posOffset>
            </wp:positionH>
            <wp:positionV relativeFrom="page">
              <wp:posOffset>634</wp:posOffset>
            </wp:positionV>
            <wp:extent cx="474344" cy="10691748"/>
            <wp:effectExtent l="0" t="0" r="0" b="0"/>
            <wp:wrapNone/>
            <wp:docPr id="33" name="image9.png" descr=""/>
            <wp:cNvGraphicFramePr>
              <a:graphicFrameLocks noChangeAspect="1"/>
            </wp:cNvGraphicFramePr>
            <a:graphic>
              <a:graphicData uri="http://schemas.openxmlformats.org/drawingml/2006/picture">
                <pic:pic>
                  <pic:nvPicPr>
                    <pic:cNvPr id="34" name="image9.png"/>
                    <pic:cNvPicPr/>
                  </pic:nvPicPr>
                  <pic:blipFill>
                    <a:blip r:embed="rId13" cstate="print"/>
                    <a:stretch>
                      <a:fillRect/>
                    </a:stretch>
                  </pic:blipFill>
                  <pic:spPr>
                    <a:xfrm>
                      <a:off x="0" y="0"/>
                      <a:ext cx="474344" cy="10691748"/>
                    </a:xfrm>
                    <a:prstGeom prst="rect">
                      <a:avLst/>
                    </a:prstGeom>
                  </pic:spPr>
                </pic:pic>
              </a:graphicData>
            </a:graphic>
          </wp:anchor>
        </w:drawing>
      </w:r>
    </w:p>
    <w:p>
      <w:pPr>
        <w:pStyle w:val="BodyText"/>
        <w:rPr>
          <w:rFonts w:ascii="Arial"/>
          <w:sz w:val="20"/>
        </w:rPr>
      </w:pPr>
    </w:p>
    <w:p>
      <w:pPr>
        <w:pStyle w:val="BodyText"/>
        <w:spacing w:before="8"/>
        <w:rPr>
          <w:rFonts w:ascii="Arial"/>
          <w:sz w:val="22"/>
        </w:rPr>
      </w:pPr>
    </w:p>
    <w:p>
      <w:pPr>
        <w:pStyle w:val="BodyText"/>
        <w:spacing w:line="360" w:lineRule="auto" w:before="1"/>
        <w:ind w:left="1702" w:right="1696"/>
        <w:jc w:val="both"/>
      </w:pPr>
      <w:r>
        <w:rPr/>
        <w:t>Quanto aos métodos construtivos, no estudo “Técnicas para a disposição de rejeitos de minério de ferro”, Djanira Alexandra Monteiro dos Santos, Adilson Curi e José Margarida da Silva, todos da Escola de Minas da Universidade Federal de Ouro Preto- UFOP, explicam:</w:t>
      </w:r>
    </w:p>
    <w:p>
      <w:pPr>
        <w:pStyle w:val="BodyText"/>
        <w:spacing w:before="9"/>
        <w:rPr>
          <w:sz w:val="20"/>
        </w:rPr>
      </w:pPr>
    </w:p>
    <w:p>
      <w:pPr>
        <w:pStyle w:val="BodyText"/>
        <w:spacing w:line="360" w:lineRule="auto" w:before="1"/>
        <w:ind w:left="1702" w:right="1707"/>
        <w:jc w:val="both"/>
      </w:pPr>
      <w:r>
        <w:rPr/>
        <w:t>“Podem ser empregados três métodos para a construção de barragens de rejeito alteadas com o próprio rejeito, ou em solo (material de empréstimo):</w:t>
      </w:r>
    </w:p>
    <w:p>
      <w:pPr>
        <w:pStyle w:val="BodyText"/>
        <w:spacing w:before="7"/>
        <w:rPr>
          <w:sz w:val="20"/>
        </w:rPr>
      </w:pPr>
    </w:p>
    <w:p>
      <w:pPr>
        <w:pStyle w:val="Heading4"/>
        <w:numPr>
          <w:ilvl w:val="0"/>
          <w:numId w:val="4"/>
        </w:numPr>
        <w:tabs>
          <w:tab w:pos="3375" w:val="left" w:leader="none"/>
        </w:tabs>
        <w:spacing w:line="240" w:lineRule="auto" w:before="0" w:after="0"/>
        <w:ind w:left="3374" w:right="0" w:hanging="256"/>
        <w:jc w:val="left"/>
        <w:rPr>
          <w:i/>
        </w:rPr>
      </w:pPr>
      <w:r>
        <w:rPr>
          <w:i/>
        </w:rPr>
        <w:t>Método alteamento por</w:t>
      </w:r>
      <w:r>
        <w:rPr>
          <w:i/>
          <w:spacing w:val="1"/>
        </w:rPr>
        <w:t> </w:t>
      </w:r>
      <w:r>
        <w:rPr>
          <w:i/>
        </w:rPr>
        <w:t>montante;</w:t>
      </w:r>
    </w:p>
    <w:p>
      <w:pPr>
        <w:pStyle w:val="BodyText"/>
        <w:spacing w:before="1"/>
        <w:rPr>
          <w:b/>
          <w:i/>
          <w:sz w:val="33"/>
        </w:rPr>
      </w:pPr>
    </w:p>
    <w:p>
      <w:pPr>
        <w:pStyle w:val="ListParagraph"/>
        <w:numPr>
          <w:ilvl w:val="0"/>
          <w:numId w:val="4"/>
        </w:numPr>
        <w:tabs>
          <w:tab w:pos="3375" w:val="left" w:leader="none"/>
        </w:tabs>
        <w:spacing w:line="240" w:lineRule="auto" w:before="0" w:after="0"/>
        <w:ind w:left="3374" w:right="0" w:hanging="256"/>
        <w:jc w:val="left"/>
        <w:rPr>
          <w:b/>
          <w:i/>
          <w:sz w:val="24"/>
        </w:rPr>
      </w:pPr>
      <w:r>
        <w:rPr>
          <w:b/>
          <w:i/>
          <w:sz w:val="24"/>
        </w:rPr>
        <w:t>Método de alteamento por</w:t>
      </w:r>
      <w:r>
        <w:rPr>
          <w:b/>
          <w:i/>
          <w:spacing w:val="-1"/>
          <w:sz w:val="24"/>
        </w:rPr>
        <w:t> </w:t>
      </w:r>
      <w:r>
        <w:rPr>
          <w:b/>
          <w:i/>
          <w:sz w:val="24"/>
        </w:rPr>
        <w:t>jusante;</w:t>
      </w:r>
    </w:p>
    <w:p>
      <w:pPr>
        <w:pStyle w:val="BodyText"/>
        <w:spacing w:before="8"/>
        <w:rPr>
          <w:b/>
          <w:i/>
          <w:sz w:val="32"/>
        </w:rPr>
      </w:pPr>
    </w:p>
    <w:p>
      <w:pPr>
        <w:pStyle w:val="ListParagraph"/>
        <w:numPr>
          <w:ilvl w:val="0"/>
          <w:numId w:val="4"/>
        </w:numPr>
        <w:tabs>
          <w:tab w:pos="3375" w:val="left" w:leader="none"/>
        </w:tabs>
        <w:spacing w:line="240" w:lineRule="auto" w:before="1" w:after="0"/>
        <w:ind w:left="3374" w:right="0" w:hanging="256"/>
        <w:jc w:val="left"/>
        <w:rPr>
          <w:b/>
          <w:i/>
          <w:sz w:val="24"/>
        </w:rPr>
      </w:pPr>
      <w:r>
        <w:rPr>
          <w:b/>
          <w:i/>
          <w:sz w:val="24"/>
        </w:rPr>
        <w:t>Método de alteamento por linha de</w:t>
      </w:r>
      <w:r>
        <w:rPr>
          <w:b/>
          <w:i/>
          <w:spacing w:val="-3"/>
          <w:sz w:val="24"/>
        </w:rPr>
        <w:t> </w:t>
      </w:r>
      <w:r>
        <w:rPr>
          <w:b/>
          <w:i/>
          <w:sz w:val="24"/>
        </w:rPr>
        <w:t>centro.</w:t>
      </w:r>
    </w:p>
    <w:p>
      <w:pPr>
        <w:pStyle w:val="BodyText"/>
        <w:spacing w:before="11"/>
        <w:rPr>
          <w:b/>
          <w:i/>
          <w:sz w:val="32"/>
        </w:rPr>
      </w:pPr>
    </w:p>
    <w:p>
      <w:pPr>
        <w:pStyle w:val="BodyText"/>
        <w:spacing w:line="360" w:lineRule="auto"/>
        <w:ind w:left="1702" w:right="1699"/>
        <w:jc w:val="both"/>
      </w:pPr>
      <w:r>
        <w:rPr/>
        <w:t>Para os três casos, inicialmente é feito um dique de partida com material de empréstimo e ao longo do tempo são construídos os alteamentos, ou seja, as elevações das estruturas.</w:t>
      </w:r>
    </w:p>
    <w:p>
      <w:pPr>
        <w:pStyle w:val="BodyText"/>
        <w:spacing w:before="9"/>
        <w:rPr>
          <w:sz w:val="20"/>
        </w:rPr>
      </w:pPr>
    </w:p>
    <w:p>
      <w:pPr>
        <w:pStyle w:val="BodyText"/>
        <w:spacing w:line="360" w:lineRule="auto"/>
        <w:ind w:left="1702" w:right="1695"/>
        <w:jc w:val="both"/>
      </w:pPr>
      <w:r>
        <w:rPr/>
        <w:t>No caso de utilização do próprio rejeito, tem-se um tipo construtivo onde os rejeitos são lançados ao longo da crista do dique por hidrociclones ou por séries de pequenas tubulações, para que haja uma formação uniforme da praia. A sedimentação das partículas dá-se em função do seu tamanho e densidade, isto é, as partículas mais finas e leves ficam em suspensão e transportam-se para o centro da barragem, e as partículas mais grossas e pesadas sedimentam-se rapidamente mais próximo do dique.</w:t>
      </w:r>
    </w:p>
    <w:p>
      <w:pPr>
        <w:pStyle w:val="BodyText"/>
        <w:spacing w:before="10"/>
        <w:rPr>
          <w:sz w:val="20"/>
        </w:rPr>
      </w:pPr>
    </w:p>
    <w:p>
      <w:pPr>
        <w:pStyle w:val="BodyText"/>
        <w:spacing w:line="360" w:lineRule="auto"/>
        <w:ind w:left="1702" w:right="1698"/>
        <w:jc w:val="both"/>
      </w:pPr>
      <w:r>
        <w:rPr/>
        <w:t>A diferença entre estes métodos de construção está na direção do alteamento em relação ao dique inicial, ou dique de partida, como veremos na ilustração dos métodos construtivos mais adiante.</w:t>
      </w:r>
    </w:p>
    <w:p>
      <w:pPr>
        <w:pStyle w:val="BodyText"/>
        <w:rPr>
          <w:sz w:val="21"/>
        </w:rPr>
      </w:pPr>
    </w:p>
    <w:p>
      <w:pPr>
        <w:pStyle w:val="BodyText"/>
        <w:spacing w:line="360" w:lineRule="auto"/>
        <w:ind w:left="1702" w:right="1694"/>
        <w:jc w:val="both"/>
      </w:pPr>
      <w:r>
        <w:rPr/>
        <w:t>Ainda no caso de alteamentos com o próprio rejeito, nos métodos a jusante e por linha de centro, usam-se normalmente hidrociclones cujo underflow (material de maior granulometria) é empregue na construção dos alteamentos e o overflow (finos) é depositado no dique. Os rejeitos são depositados pela técnica denominada aterro hidráulico que, quando aplicada ao alteamento por montante facilita a execução da barragem tornando este método mais econômico e por esta razão, o mais utilizado</w:t>
      </w:r>
      <w:r>
        <w:rPr>
          <w:spacing w:val="4"/>
        </w:rPr>
        <w:t> </w:t>
      </w:r>
      <w:r>
        <w:rPr/>
        <w:t>pelas</w:t>
      </w:r>
    </w:p>
    <w:p>
      <w:pPr>
        <w:pStyle w:val="BodyText"/>
        <w:spacing w:before="11"/>
        <w:rPr>
          <w:sz w:val="28"/>
        </w:rPr>
      </w:pPr>
      <w:r>
        <w:rPr/>
        <w:pict>
          <v:shape style="position:absolute;margin-left:475.660004pt;margin-top:17.865200pt;width:40.450pt;height:55.95pt;mso-position-horizontal-relative:page;mso-position-vertical-relative:paragraph;z-index:-304;mso-wrap-distance-left:0;mso-wrap-distance-right:0" type="#_x0000_t202" filled="true" fillcolor="#6fac46" stroked="false">
            <v:textbox inset="0,0,0,0">
              <w:txbxContent>
                <w:p>
                  <w:pPr>
                    <w:pStyle w:val="BodyText"/>
                    <w:spacing w:before="10"/>
                    <w:rPr>
                      <w:sz w:val="29"/>
                    </w:rPr>
                  </w:pPr>
                </w:p>
                <w:p>
                  <w:pPr>
                    <w:spacing w:before="0"/>
                    <w:ind w:left="0" w:right="0" w:firstLine="0"/>
                    <w:jc w:val="center"/>
                    <w:rPr>
                      <w:rFonts w:ascii="Arial"/>
                      <w:sz w:val="36"/>
                    </w:rPr>
                  </w:pPr>
                  <w:r>
                    <w:rPr>
                      <w:rFonts w:ascii="Arial"/>
                      <w:color w:val="FFFFFF"/>
                      <w:w w:val="91"/>
                      <w:sz w:val="36"/>
                    </w:rPr>
                    <w:t>9</w:t>
                  </w:r>
                </w:p>
              </w:txbxContent>
            </v:textbox>
            <v:fill type="solid"/>
            <w10:wrap type="topAndBottom"/>
          </v:shape>
        </w:pict>
      </w:r>
    </w:p>
    <w:p>
      <w:pPr>
        <w:spacing w:after="0"/>
        <w:rPr>
          <w:sz w:val="28"/>
        </w:rPr>
        <w:sectPr>
          <w:type w:val="continuous"/>
          <w:pgSz w:w="11910" w:h="16840"/>
          <w:pgMar w:top="0" w:bottom="280" w:left="0" w:right="0"/>
        </w:sectPr>
      </w:pPr>
    </w:p>
    <w:p>
      <w:pPr>
        <w:pStyle w:val="BodyText"/>
        <w:rPr>
          <w:sz w:val="20"/>
        </w:rPr>
      </w:pPr>
    </w:p>
    <w:p>
      <w:pPr>
        <w:pStyle w:val="BodyText"/>
        <w:rPr>
          <w:sz w:val="20"/>
        </w:rPr>
      </w:pPr>
    </w:p>
    <w:p>
      <w:pPr>
        <w:pStyle w:val="BodyText"/>
        <w:spacing w:before="1"/>
        <w:rPr>
          <w:sz w:val="18"/>
        </w:rPr>
      </w:pPr>
    </w:p>
    <w:p>
      <w:pPr>
        <w:spacing w:after="0"/>
        <w:rPr>
          <w:sz w:val="18"/>
        </w:rPr>
        <w:sectPr>
          <w:pgSz w:w="11910" w:h="16840"/>
          <w:pgMar w:top="0" w:bottom="0" w:left="0" w:right="0"/>
        </w:sectPr>
      </w:pPr>
    </w:p>
    <w:p>
      <w:pPr>
        <w:pStyle w:val="Heading1"/>
        <w:spacing w:line="172" w:lineRule="auto"/>
      </w:pPr>
      <w:r>
        <w:rPr/>
        <w:drawing>
          <wp:anchor distT="0" distB="0" distL="0" distR="0" allowOverlap="1" layoutInCell="1" locked="0" behindDoc="0" simplePos="0" relativeHeight="1864">
            <wp:simplePos x="0" y="0"/>
            <wp:positionH relativeFrom="page">
              <wp:posOffset>979932</wp:posOffset>
            </wp:positionH>
            <wp:positionV relativeFrom="paragraph">
              <wp:posOffset>-9589</wp:posOffset>
            </wp:positionV>
            <wp:extent cx="1478280" cy="612648"/>
            <wp:effectExtent l="0" t="0" r="0" b="0"/>
            <wp:wrapNone/>
            <wp:docPr id="35" name="image8.png" descr=""/>
            <wp:cNvGraphicFramePr>
              <a:graphicFrameLocks noChangeAspect="1"/>
            </wp:cNvGraphicFramePr>
            <a:graphic>
              <a:graphicData uri="http://schemas.openxmlformats.org/drawingml/2006/picture">
                <pic:pic>
                  <pic:nvPicPr>
                    <pic:cNvPr id="36" name="image8.png"/>
                    <pic:cNvPicPr/>
                  </pic:nvPicPr>
                  <pic:blipFill>
                    <a:blip r:embed="rId12" cstate="print"/>
                    <a:stretch>
                      <a:fillRect/>
                    </a:stretch>
                  </pic:blipFill>
                  <pic:spPr>
                    <a:xfrm>
                      <a:off x="0" y="0"/>
                      <a:ext cx="1478280" cy="612648"/>
                    </a:xfrm>
                    <a:prstGeom prst="rect">
                      <a:avLst/>
                    </a:prstGeom>
                  </pic:spPr>
                </pic:pic>
              </a:graphicData>
            </a:graphic>
          </wp:anchor>
        </w:drawing>
      </w:r>
      <w:r>
        <w:rPr>
          <w:color w:val="385522"/>
        </w:rPr>
        <w:t>meio </w:t>
      </w:r>
      <w:r>
        <w:rPr>
          <w:color w:val="385522"/>
          <w:w w:val="95"/>
        </w:rPr>
        <w:t>ambiente</w:t>
      </w:r>
    </w:p>
    <w:p>
      <w:pPr>
        <w:spacing w:before="60"/>
        <w:ind w:left="455" w:right="0" w:firstLine="0"/>
        <w:jc w:val="left"/>
        <w:rPr>
          <w:rFonts w:ascii="Arial" w:hAnsi="Arial"/>
          <w:sz w:val="22"/>
        </w:rPr>
      </w:pPr>
      <w:r>
        <w:rPr/>
        <w:br w:type="column"/>
      </w:r>
      <w:r>
        <w:rPr>
          <w:rFonts w:ascii="Arial" w:hAnsi="Arial"/>
          <w:color w:val="385522"/>
          <w:sz w:val="22"/>
        </w:rPr>
        <w:t>Plano Municipal de Segurança de Barragens-PMSB</w:t>
      </w:r>
    </w:p>
    <w:p>
      <w:pPr>
        <w:spacing w:after="0"/>
        <w:jc w:val="left"/>
        <w:rPr>
          <w:rFonts w:ascii="Arial" w:hAnsi="Arial"/>
          <w:sz w:val="22"/>
        </w:rPr>
        <w:sectPr>
          <w:type w:val="continuous"/>
          <w:pgSz w:w="11910" w:h="16840"/>
          <w:pgMar w:top="0" w:bottom="280" w:left="0" w:right="0"/>
          <w:cols w:num="2" w:equalWidth="0">
            <w:col w:w="5155" w:space="77"/>
            <w:col w:w="6678"/>
          </w:cols>
        </w:sectPr>
      </w:pPr>
    </w:p>
    <w:p>
      <w:pPr>
        <w:pStyle w:val="BodyText"/>
        <w:rPr>
          <w:rFonts w:ascii="Arial"/>
          <w:sz w:val="20"/>
        </w:rPr>
      </w:pPr>
      <w:r>
        <w:rPr/>
        <w:drawing>
          <wp:anchor distT="0" distB="0" distL="0" distR="0" allowOverlap="1" layoutInCell="1" locked="0" behindDoc="0" simplePos="0" relativeHeight="1888">
            <wp:simplePos x="0" y="0"/>
            <wp:positionH relativeFrom="page">
              <wp:posOffset>288925</wp:posOffset>
            </wp:positionH>
            <wp:positionV relativeFrom="page">
              <wp:posOffset>634</wp:posOffset>
            </wp:positionV>
            <wp:extent cx="474344" cy="10691748"/>
            <wp:effectExtent l="0" t="0" r="0" b="0"/>
            <wp:wrapNone/>
            <wp:docPr id="37" name="image9.png" descr=""/>
            <wp:cNvGraphicFramePr>
              <a:graphicFrameLocks noChangeAspect="1"/>
            </wp:cNvGraphicFramePr>
            <a:graphic>
              <a:graphicData uri="http://schemas.openxmlformats.org/drawingml/2006/picture">
                <pic:pic>
                  <pic:nvPicPr>
                    <pic:cNvPr id="38" name="image9.png"/>
                    <pic:cNvPicPr/>
                  </pic:nvPicPr>
                  <pic:blipFill>
                    <a:blip r:embed="rId13" cstate="print"/>
                    <a:stretch>
                      <a:fillRect/>
                    </a:stretch>
                  </pic:blipFill>
                  <pic:spPr>
                    <a:xfrm>
                      <a:off x="0" y="0"/>
                      <a:ext cx="474344" cy="10691748"/>
                    </a:xfrm>
                    <a:prstGeom prst="rect">
                      <a:avLst/>
                    </a:prstGeom>
                  </pic:spPr>
                </pic:pic>
              </a:graphicData>
            </a:graphic>
          </wp:anchor>
        </w:drawing>
      </w:r>
    </w:p>
    <w:p>
      <w:pPr>
        <w:pStyle w:val="BodyText"/>
        <w:rPr>
          <w:rFonts w:ascii="Arial"/>
          <w:sz w:val="20"/>
        </w:rPr>
      </w:pPr>
    </w:p>
    <w:p>
      <w:pPr>
        <w:pStyle w:val="BodyText"/>
        <w:spacing w:before="8"/>
        <w:rPr>
          <w:rFonts w:ascii="Arial"/>
          <w:sz w:val="22"/>
        </w:rPr>
      </w:pPr>
    </w:p>
    <w:p>
      <w:pPr>
        <w:pStyle w:val="BodyText"/>
        <w:spacing w:line="360" w:lineRule="auto" w:before="1"/>
        <w:ind w:left="1702" w:right="1696"/>
        <w:jc w:val="both"/>
      </w:pPr>
      <w:r>
        <w:rPr/>
        <w:t>mineradoras. Como alternativa a este método, tem sido empregado o método de alteamento por linha de centro e por jusante, que garantem um controle geotécnico maior da estabilidade das</w:t>
      </w:r>
      <w:r>
        <w:rPr>
          <w:spacing w:val="-2"/>
        </w:rPr>
        <w:t> </w:t>
      </w:r>
      <w:r>
        <w:rPr/>
        <w:t>barragens.</w:t>
      </w:r>
    </w:p>
    <w:p>
      <w:pPr>
        <w:pStyle w:val="BodyText"/>
        <w:spacing w:before="8"/>
        <w:rPr>
          <w:sz w:val="20"/>
        </w:rPr>
      </w:pPr>
    </w:p>
    <w:p>
      <w:pPr>
        <w:pStyle w:val="BodyText"/>
        <w:spacing w:line="360" w:lineRule="auto"/>
        <w:ind w:left="1702" w:right="1695"/>
        <w:jc w:val="both"/>
      </w:pPr>
      <w:r>
        <w:rPr/>
        <w:t>Destaque-se que, acerca dos métodos de construção à montante, que a NBR 13028, que especifica os requisitos mínimos para a elaboração e apresentação de projeto de barragens de mineração, incluindo as barragens para disposição de rejeitos de beneficiamento, contenção de sedimentos gerados por erosão e reservação de água em mineração, visando atender às condições de segurança, operacionalidade, economicidade e desativação, minimizando os impactos ao meio ambiente, “</w:t>
      </w:r>
      <w:r>
        <w:rPr>
          <w:i/>
        </w:rPr>
        <w:t>NÃO </w:t>
      </w:r>
      <w:r>
        <w:rPr>
          <w:i/>
        </w:rPr>
        <w:t>recomendava a prática de alteamentos de montante</w:t>
      </w:r>
      <w:r>
        <w:rPr/>
        <w:t>” em sua primeira versão de 1993, permanecendo este entendimento até sua revisão em</w:t>
      </w:r>
      <w:r>
        <w:rPr>
          <w:spacing w:val="-2"/>
        </w:rPr>
        <w:t> </w:t>
      </w:r>
      <w:r>
        <w:rPr/>
        <w:t>2006.</w:t>
      </w:r>
    </w:p>
    <w:p>
      <w:pPr>
        <w:pStyle w:val="BodyText"/>
        <w:rPr>
          <w:sz w:val="21"/>
        </w:rPr>
      </w:pPr>
    </w:p>
    <w:p>
      <w:pPr>
        <w:spacing w:line="360" w:lineRule="auto" w:before="0"/>
        <w:ind w:left="1702" w:right="1696" w:firstLine="0"/>
        <w:jc w:val="both"/>
        <w:rPr>
          <w:sz w:val="24"/>
        </w:rPr>
      </w:pPr>
      <w:r>
        <w:rPr>
          <w:sz w:val="24"/>
        </w:rPr>
        <w:t>Sobre este método de alteamento, também o Ministério Público do Estado de Minas Gerais expediu em 2016 uma recomendação</w:t>
      </w:r>
      <w:r>
        <w:rPr>
          <w:sz w:val="24"/>
          <w:vertAlign w:val="superscript"/>
        </w:rPr>
        <w:t>5</w:t>
      </w:r>
      <w:r>
        <w:rPr>
          <w:sz w:val="24"/>
          <w:vertAlign w:val="baseline"/>
        </w:rPr>
        <w:t> ao Departamento Nacional de Produção Mineral - DNPM, na pessoa de seu Diretor Geral, que se “</w:t>
      </w:r>
      <w:r>
        <w:rPr>
          <w:i/>
          <w:sz w:val="24"/>
          <w:vertAlign w:val="baseline"/>
        </w:rPr>
        <w:t>abstivesse em aprovar Plano </w:t>
      </w:r>
      <w:r>
        <w:rPr>
          <w:i/>
          <w:sz w:val="24"/>
          <w:vertAlign w:val="baseline"/>
        </w:rPr>
        <w:t>de Lavra para empresas mineradoras que contemplassem a construção de barragens de contenção de rejeitos de mineração pelo método de alteamento a montante</w:t>
      </w:r>
      <w:r>
        <w:rPr>
          <w:sz w:val="24"/>
          <w:vertAlign w:val="baseline"/>
        </w:rPr>
        <w:t>”.</w:t>
      </w:r>
    </w:p>
    <w:p>
      <w:pPr>
        <w:pStyle w:val="BodyText"/>
        <w:spacing w:before="9"/>
        <w:rPr>
          <w:sz w:val="20"/>
        </w:rPr>
      </w:pPr>
    </w:p>
    <w:p>
      <w:pPr>
        <w:spacing w:line="360" w:lineRule="auto" w:before="0"/>
        <w:ind w:left="1702" w:right="1695" w:firstLine="0"/>
        <w:jc w:val="both"/>
        <w:rPr>
          <w:sz w:val="24"/>
        </w:rPr>
      </w:pPr>
      <w:r>
        <w:rPr>
          <w:sz w:val="24"/>
        </w:rPr>
        <w:t>Ademais, o Decreto n. 46.933, de 02 de maio de 2016 que instituiu a Auditoria Técnica Extraordinária de Segurança de Barragem no Estado de Minas Gerais, “</w:t>
      </w:r>
      <w:r>
        <w:rPr>
          <w:i/>
          <w:sz w:val="24"/>
        </w:rPr>
        <w:t>determinou em </w:t>
      </w:r>
      <w:r>
        <w:rPr>
          <w:i/>
          <w:sz w:val="24"/>
        </w:rPr>
        <w:t>seu art. 7º a suspensão das emissões de orientações básicas e a formalização de processos de licenciamento ambiental de novas barragens de contenção de rejeitos que se pretenda utilizar o método de alteamento para montante e a ampliação de barragens de contenção de rejeitos já existentes, que utilizem ou que tenham utilizado o método de alteamento para montante”</w:t>
      </w:r>
      <w:r>
        <w:rPr>
          <w:sz w:val="24"/>
        </w:rPr>
        <w:t>.</w:t>
      </w:r>
    </w:p>
    <w:p>
      <w:pPr>
        <w:pStyle w:val="BodyText"/>
        <w:rPr>
          <w:sz w:val="21"/>
        </w:rPr>
      </w:pPr>
    </w:p>
    <w:p>
      <w:pPr>
        <w:pStyle w:val="BodyText"/>
        <w:spacing w:line="360" w:lineRule="auto"/>
        <w:ind w:left="1702" w:right="1700"/>
        <w:jc w:val="both"/>
      </w:pPr>
      <w:r>
        <w:rPr/>
        <w:t>Destaque-se que o método de alteamento de barragem a montante é o mesmo que fora utilizado na estrutura da Samarco Mineração - Barragem de Fundão - que se rompeu na cidade de Mariana, em 2015, bem como da barragem B1, da Vale Mineração, que se rompeu na cidade de Brumadinho em 2019.</w:t>
      </w:r>
    </w:p>
    <w:p>
      <w:pPr>
        <w:pStyle w:val="BodyText"/>
        <w:rPr>
          <w:sz w:val="20"/>
        </w:rPr>
      </w:pPr>
    </w:p>
    <w:p>
      <w:pPr>
        <w:pStyle w:val="BodyText"/>
        <w:rPr>
          <w:sz w:val="20"/>
        </w:rPr>
      </w:pPr>
    </w:p>
    <w:p>
      <w:pPr>
        <w:pStyle w:val="BodyText"/>
        <w:spacing w:before="2"/>
        <w:rPr>
          <w:sz w:val="12"/>
        </w:rPr>
      </w:pPr>
      <w:r>
        <w:rPr/>
        <w:pict>
          <v:line style="position:absolute;mso-position-horizontal-relative:page;mso-position-vertical-relative:paragraph;z-index:-232;mso-wrap-distance-left:0;mso-wrap-distance-right:0" from="85.103996pt,9.387231pt" to="229.123996pt,9.387231pt" stroked="true" strokeweight=".72003pt" strokecolor="#000000">
            <v:stroke dashstyle="solid"/>
            <w10:wrap type="topAndBottom"/>
          </v:line>
        </w:pict>
      </w:r>
    </w:p>
    <w:p>
      <w:pPr>
        <w:spacing w:before="41"/>
        <w:ind w:left="1702" w:right="0" w:firstLine="0"/>
        <w:jc w:val="both"/>
        <w:rPr>
          <w:rFonts w:ascii="Arial" w:hAnsi="Arial"/>
          <w:sz w:val="20"/>
        </w:rPr>
      </w:pPr>
      <w:r>
        <w:rPr>
          <w:rFonts w:ascii="Arial" w:hAnsi="Arial"/>
          <w:position w:val="10"/>
          <w:sz w:val="13"/>
        </w:rPr>
        <w:t>5 </w:t>
      </w:r>
      <w:r>
        <w:rPr>
          <w:rFonts w:ascii="Arial" w:hAnsi="Arial"/>
          <w:sz w:val="20"/>
        </w:rPr>
        <w:t>Recomendação nº60/2016-MPF-GAB/FT</w:t>
      </w:r>
    </w:p>
    <w:p>
      <w:pPr>
        <w:pStyle w:val="BodyText"/>
        <w:spacing w:before="4"/>
        <w:rPr>
          <w:rFonts w:ascii="Arial"/>
          <w:sz w:val="26"/>
        </w:rPr>
      </w:pPr>
      <w:r>
        <w:rPr/>
        <w:pict>
          <v:shape style="position:absolute;margin-left:475.660004pt;margin-top:16.359951pt;width:40.450pt;height:55.95pt;mso-position-horizontal-relative:page;mso-position-vertical-relative:paragraph;z-index:-208;mso-wrap-distance-left:0;mso-wrap-distance-right:0" type="#_x0000_t202" filled="true" fillcolor="#6fac46" stroked="false">
            <v:textbox inset="0,0,0,0">
              <w:txbxContent>
                <w:p>
                  <w:pPr>
                    <w:pStyle w:val="BodyText"/>
                    <w:spacing w:before="10"/>
                    <w:rPr>
                      <w:rFonts w:ascii="Arial"/>
                      <w:sz w:val="29"/>
                    </w:rPr>
                  </w:pPr>
                </w:p>
                <w:p>
                  <w:pPr>
                    <w:spacing w:before="0"/>
                    <w:ind w:left="220" w:right="0" w:firstLine="0"/>
                    <w:jc w:val="left"/>
                    <w:rPr>
                      <w:rFonts w:ascii="Arial"/>
                      <w:sz w:val="36"/>
                    </w:rPr>
                  </w:pPr>
                  <w:r>
                    <w:rPr>
                      <w:rFonts w:ascii="Arial"/>
                      <w:color w:val="FFFFFF"/>
                      <w:sz w:val="36"/>
                    </w:rPr>
                    <w:t>10</w:t>
                  </w:r>
                </w:p>
              </w:txbxContent>
            </v:textbox>
            <v:fill type="solid"/>
            <w10:wrap type="topAndBottom"/>
          </v:shape>
        </w:pict>
      </w:r>
    </w:p>
    <w:p>
      <w:pPr>
        <w:spacing w:after="0"/>
        <w:rPr>
          <w:rFonts w:ascii="Arial"/>
          <w:sz w:val="26"/>
        </w:rPr>
        <w:sectPr>
          <w:type w:val="continuous"/>
          <w:pgSz w:w="11910" w:h="16840"/>
          <w:pgMar w:top="0" w:bottom="280" w:left="0" w:right="0"/>
        </w:sectPr>
      </w:pPr>
    </w:p>
    <w:p>
      <w:pPr>
        <w:pStyle w:val="BodyText"/>
        <w:rPr>
          <w:rFonts w:ascii="Arial"/>
          <w:sz w:val="20"/>
        </w:rPr>
      </w:pPr>
    </w:p>
    <w:p>
      <w:pPr>
        <w:pStyle w:val="BodyText"/>
        <w:rPr>
          <w:rFonts w:ascii="Arial"/>
          <w:sz w:val="20"/>
        </w:rPr>
      </w:pPr>
    </w:p>
    <w:p>
      <w:pPr>
        <w:pStyle w:val="BodyText"/>
        <w:spacing w:before="1"/>
        <w:rPr>
          <w:rFonts w:ascii="Arial"/>
          <w:sz w:val="18"/>
        </w:rPr>
      </w:pPr>
    </w:p>
    <w:p>
      <w:pPr>
        <w:spacing w:after="0"/>
        <w:rPr>
          <w:rFonts w:ascii="Arial"/>
          <w:sz w:val="18"/>
        </w:rPr>
        <w:sectPr>
          <w:pgSz w:w="11910" w:h="16840"/>
          <w:pgMar w:top="0" w:bottom="0" w:left="0" w:right="0"/>
        </w:sectPr>
      </w:pPr>
    </w:p>
    <w:p>
      <w:pPr>
        <w:pStyle w:val="Heading1"/>
        <w:spacing w:line="172" w:lineRule="auto"/>
      </w:pPr>
      <w:r>
        <w:rPr/>
        <w:drawing>
          <wp:anchor distT="0" distB="0" distL="0" distR="0" allowOverlap="1" layoutInCell="1" locked="0" behindDoc="0" simplePos="0" relativeHeight="1936">
            <wp:simplePos x="0" y="0"/>
            <wp:positionH relativeFrom="page">
              <wp:posOffset>979932</wp:posOffset>
            </wp:positionH>
            <wp:positionV relativeFrom="paragraph">
              <wp:posOffset>-9589</wp:posOffset>
            </wp:positionV>
            <wp:extent cx="1478280" cy="612648"/>
            <wp:effectExtent l="0" t="0" r="0" b="0"/>
            <wp:wrapNone/>
            <wp:docPr id="39" name="image8.png" descr=""/>
            <wp:cNvGraphicFramePr>
              <a:graphicFrameLocks noChangeAspect="1"/>
            </wp:cNvGraphicFramePr>
            <a:graphic>
              <a:graphicData uri="http://schemas.openxmlformats.org/drawingml/2006/picture">
                <pic:pic>
                  <pic:nvPicPr>
                    <pic:cNvPr id="40" name="image8.png"/>
                    <pic:cNvPicPr/>
                  </pic:nvPicPr>
                  <pic:blipFill>
                    <a:blip r:embed="rId12" cstate="print"/>
                    <a:stretch>
                      <a:fillRect/>
                    </a:stretch>
                  </pic:blipFill>
                  <pic:spPr>
                    <a:xfrm>
                      <a:off x="0" y="0"/>
                      <a:ext cx="1478280" cy="612648"/>
                    </a:xfrm>
                    <a:prstGeom prst="rect">
                      <a:avLst/>
                    </a:prstGeom>
                  </pic:spPr>
                </pic:pic>
              </a:graphicData>
            </a:graphic>
          </wp:anchor>
        </w:drawing>
      </w:r>
      <w:r>
        <w:rPr>
          <w:color w:val="385522"/>
        </w:rPr>
        <w:t>meio </w:t>
      </w:r>
      <w:r>
        <w:rPr>
          <w:color w:val="385522"/>
          <w:w w:val="95"/>
        </w:rPr>
        <w:t>ambiente</w:t>
      </w:r>
    </w:p>
    <w:p>
      <w:pPr>
        <w:spacing w:before="60"/>
        <w:ind w:left="455" w:right="0" w:firstLine="0"/>
        <w:jc w:val="left"/>
        <w:rPr>
          <w:rFonts w:ascii="Arial" w:hAnsi="Arial"/>
          <w:sz w:val="22"/>
        </w:rPr>
      </w:pPr>
      <w:r>
        <w:rPr/>
        <w:br w:type="column"/>
      </w:r>
      <w:r>
        <w:rPr>
          <w:rFonts w:ascii="Arial" w:hAnsi="Arial"/>
          <w:color w:val="385522"/>
          <w:sz w:val="22"/>
        </w:rPr>
        <w:t>Plano Municipal de Segurança de Barragens-PMSB</w:t>
      </w:r>
    </w:p>
    <w:p>
      <w:pPr>
        <w:spacing w:after="0"/>
        <w:jc w:val="left"/>
        <w:rPr>
          <w:rFonts w:ascii="Arial" w:hAnsi="Arial"/>
          <w:sz w:val="22"/>
        </w:rPr>
        <w:sectPr>
          <w:type w:val="continuous"/>
          <w:pgSz w:w="11910" w:h="16840"/>
          <w:pgMar w:top="0" w:bottom="280" w:left="0" w:right="0"/>
          <w:cols w:num="2" w:equalWidth="0">
            <w:col w:w="5155" w:space="77"/>
            <w:col w:w="6678"/>
          </w:cols>
        </w:sectPr>
      </w:pPr>
    </w:p>
    <w:p>
      <w:pPr>
        <w:pStyle w:val="BodyText"/>
        <w:rPr>
          <w:rFonts w:ascii="Arial"/>
          <w:sz w:val="20"/>
        </w:rPr>
      </w:pPr>
      <w:r>
        <w:rPr/>
        <w:drawing>
          <wp:anchor distT="0" distB="0" distL="0" distR="0" allowOverlap="1" layoutInCell="1" locked="0" behindDoc="0" simplePos="0" relativeHeight="1960">
            <wp:simplePos x="0" y="0"/>
            <wp:positionH relativeFrom="page">
              <wp:posOffset>288925</wp:posOffset>
            </wp:positionH>
            <wp:positionV relativeFrom="page">
              <wp:posOffset>634</wp:posOffset>
            </wp:positionV>
            <wp:extent cx="474344" cy="10691748"/>
            <wp:effectExtent l="0" t="0" r="0" b="0"/>
            <wp:wrapNone/>
            <wp:docPr id="41" name="image9.png" descr=""/>
            <wp:cNvGraphicFramePr>
              <a:graphicFrameLocks noChangeAspect="1"/>
            </wp:cNvGraphicFramePr>
            <a:graphic>
              <a:graphicData uri="http://schemas.openxmlformats.org/drawingml/2006/picture">
                <pic:pic>
                  <pic:nvPicPr>
                    <pic:cNvPr id="42" name="image9.png"/>
                    <pic:cNvPicPr/>
                  </pic:nvPicPr>
                  <pic:blipFill>
                    <a:blip r:embed="rId13" cstate="print"/>
                    <a:stretch>
                      <a:fillRect/>
                    </a:stretch>
                  </pic:blipFill>
                  <pic:spPr>
                    <a:xfrm>
                      <a:off x="0" y="0"/>
                      <a:ext cx="474344" cy="10691748"/>
                    </a:xfrm>
                    <a:prstGeom prst="rect">
                      <a:avLst/>
                    </a:prstGeom>
                  </pic:spPr>
                </pic:pic>
              </a:graphicData>
            </a:graphic>
          </wp:anchor>
        </w:drawing>
      </w:r>
    </w:p>
    <w:p>
      <w:pPr>
        <w:pStyle w:val="BodyText"/>
        <w:rPr>
          <w:rFonts w:ascii="Arial"/>
          <w:sz w:val="20"/>
        </w:rPr>
      </w:pPr>
    </w:p>
    <w:p>
      <w:pPr>
        <w:pStyle w:val="BodyText"/>
        <w:spacing w:before="8"/>
        <w:rPr>
          <w:rFonts w:ascii="Arial"/>
          <w:sz w:val="22"/>
        </w:rPr>
      </w:pPr>
    </w:p>
    <w:p>
      <w:pPr>
        <w:pStyle w:val="BodyText"/>
        <w:spacing w:line="360" w:lineRule="auto" w:before="1"/>
        <w:ind w:left="1702" w:right="1695"/>
        <w:jc w:val="both"/>
      </w:pPr>
      <w:r>
        <w:rPr/>
        <w:t>Com o recente e vasto histórico de acidentes em barragens de mineração, o modelo construtivo pelo método à montante, que fora largamente utilizado entre as décadas de 70 e 90, sobretudo por se tratar de um método muito mais econômico em relação aos demais, passou então a ter um tratamento mais criterioso e comedido, até que fosse conduzido à sua extinção.</w:t>
      </w:r>
    </w:p>
    <w:p>
      <w:pPr>
        <w:pStyle w:val="BodyText"/>
        <w:spacing w:before="8"/>
        <w:rPr>
          <w:sz w:val="20"/>
        </w:rPr>
      </w:pPr>
    </w:p>
    <w:p>
      <w:pPr>
        <w:pStyle w:val="BodyText"/>
        <w:spacing w:before="1"/>
        <w:ind w:left="1702"/>
      </w:pPr>
      <w:r>
        <w:rPr/>
        <w:t>No entanto, tal situação fim e de transição, demanda alterações e inovações legais.</w:t>
      </w:r>
    </w:p>
    <w:p>
      <w:pPr>
        <w:pStyle w:val="BodyText"/>
        <w:spacing w:before="8"/>
        <w:rPr>
          <w:sz w:val="32"/>
        </w:rPr>
      </w:pPr>
    </w:p>
    <w:p>
      <w:pPr>
        <w:pStyle w:val="BodyText"/>
        <w:ind w:left="1702"/>
      </w:pPr>
      <w:r>
        <w:rPr/>
        <w:t>Neste sentido, em 15 de fevereiro de 2019 a Agencia Nacional de Mineração expediu a</w:t>
      </w:r>
    </w:p>
    <w:p>
      <w:pPr>
        <w:spacing w:before="140"/>
        <w:ind w:left="1702" w:right="0" w:firstLine="0"/>
        <w:jc w:val="left"/>
        <w:rPr>
          <w:sz w:val="24"/>
        </w:rPr>
      </w:pPr>
      <w:r>
        <w:rPr>
          <w:b/>
          <w:sz w:val="24"/>
        </w:rPr>
        <w:t>Resolução nº 04/2019</w:t>
      </w:r>
      <w:r>
        <w:rPr>
          <w:sz w:val="24"/>
        </w:rPr>
        <w:t>, que dentre outras regulamentações passou a proibir:</w:t>
      </w:r>
    </w:p>
    <w:p>
      <w:pPr>
        <w:pStyle w:val="BodyText"/>
        <w:spacing w:before="9"/>
        <w:rPr>
          <w:sz w:val="32"/>
        </w:rPr>
      </w:pPr>
    </w:p>
    <w:p>
      <w:pPr>
        <w:pStyle w:val="ListParagraph"/>
        <w:numPr>
          <w:ilvl w:val="0"/>
          <w:numId w:val="5"/>
        </w:numPr>
        <w:tabs>
          <w:tab w:pos="2782" w:val="left" w:leader="none"/>
        </w:tabs>
        <w:spacing w:line="278" w:lineRule="auto" w:before="0" w:after="0"/>
        <w:ind w:left="2782" w:right="1702" w:hanging="720"/>
        <w:jc w:val="both"/>
        <w:rPr>
          <w:sz w:val="24"/>
        </w:rPr>
      </w:pPr>
      <w:r>
        <w:rPr>
          <w:sz w:val="24"/>
        </w:rPr>
        <w:t>a construção ou alteamento de barragens de mineração pelo método a montante;</w:t>
      </w:r>
    </w:p>
    <w:p>
      <w:pPr>
        <w:pStyle w:val="BodyText"/>
        <w:spacing w:before="6"/>
        <w:rPr>
          <w:sz w:val="20"/>
        </w:rPr>
      </w:pPr>
    </w:p>
    <w:p>
      <w:pPr>
        <w:pStyle w:val="ListParagraph"/>
        <w:numPr>
          <w:ilvl w:val="0"/>
          <w:numId w:val="5"/>
        </w:numPr>
        <w:tabs>
          <w:tab w:pos="2782" w:val="left" w:leader="none"/>
        </w:tabs>
        <w:spacing w:line="276" w:lineRule="auto" w:before="0" w:after="0"/>
        <w:ind w:left="2782" w:right="1700" w:hanging="720"/>
        <w:jc w:val="both"/>
        <w:rPr>
          <w:sz w:val="24"/>
        </w:rPr>
      </w:pPr>
      <w:r>
        <w:rPr>
          <w:sz w:val="24"/>
        </w:rPr>
        <w:t>a manutenção ou construção de qualquer instalação, obra ou serviço, permanente ou temporário, que inclua presença humana, na Zona de Autossalvamento - ZAS das barragens incluídas na PNSB;</w:t>
      </w:r>
      <w:r>
        <w:rPr>
          <w:spacing w:val="-1"/>
          <w:sz w:val="24"/>
        </w:rPr>
        <w:t> </w:t>
      </w:r>
      <w:r>
        <w:rPr>
          <w:sz w:val="24"/>
        </w:rPr>
        <w:t>e,</w:t>
      </w:r>
    </w:p>
    <w:p>
      <w:pPr>
        <w:pStyle w:val="BodyText"/>
        <w:spacing w:before="10"/>
        <w:rPr>
          <w:sz w:val="20"/>
        </w:rPr>
      </w:pPr>
    </w:p>
    <w:p>
      <w:pPr>
        <w:pStyle w:val="ListParagraph"/>
        <w:numPr>
          <w:ilvl w:val="0"/>
          <w:numId w:val="5"/>
        </w:numPr>
        <w:tabs>
          <w:tab w:pos="2782" w:val="left" w:leader="none"/>
        </w:tabs>
        <w:spacing w:line="276" w:lineRule="auto" w:before="0" w:after="0"/>
        <w:ind w:left="2782" w:right="1703" w:hanging="720"/>
        <w:jc w:val="both"/>
        <w:rPr>
          <w:sz w:val="24"/>
        </w:rPr>
      </w:pPr>
      <w:r>
        <w:rPr>
          <w:sz w:val="24"/>
        </w:rPr>
        <w:t>a manutenção ou construção de barramento para armazenamento de efluente líquido imediatamente a jusante da barragem de mineração, na ZAS, se houver possibilidade de interferir na segurança da</w:t>
      </w:r>
      <w:r>
        <w:rPr>
          <w:spacing w:val="-6"/>
          <w:sz w:val="24"/>
        </w:rPr>
        <w:t> </w:t>
      </w:r>
      <w:r>
        <w:rPr>
          <w:sz w:val="24"/>
        </w:rPr>
        <w:t>barragem.</w:t>
      </w:r>
    </w:p>
    <w:p>
      <w:pPr>
        <w:pStyle w:val="BodyText"/>
        <w:spacing w:before="9"/>
        <w:rPr>
          <w:sz w:val="20"/>
        </w:rPr>
      </w:pPr>
    </w:p>
    <w:p>
      <w:pPr>
        <w:pStyle w:val="BodyText"/>
        <w:spacing w:line="360" w:lineRule="auto"/>
        <w:ind w:left="1702" w:right="1817"/>
      </w:pPr>
      <w:r>
        <w:rPr/>
        <w:t>Esta mesma resolução, sobre o método a montante, condicionou o empreendedor à adoção das seguintes medidas:</w:t>
      </w:r>
    </w:p>
    <w:p>
      <w:pPr>
        <w:pStyle w:val="BodyText"/>
        <w:spacing w:before="10"/>
        <w:rPr>
          <w:sz w:val="20"/>
        </w:rPr>
      </w:pPr>
    </w:p>
    <w:p>
      <w:pPr>
        <w:pStyle w:val="ListParagraph"/>
        <w:numPr>
          <w:ilvl w:val="0"/>
          <w:numId w:val="6"/>
        </w:numPr>
        <w:tabs>
          <w:tab w:pos="2782" w:val="left" w:leader="none"/>
        </w:tabs>
        <w:spacing w:line="276" w:lineRule="auto" w:before="0" w:after="0"/>
        <w:ind w:left="2782" w:right="1698" w:hanging="720"/>
        <w:jc w:val="both"/>
        <w:rPr>
          <w:sz w:val="24"/>
        </w:rPr>
      </w:pPr>
      <w:r>
        <w:rPr>
          <w:sz w:val="24"/>
        </w:rPr>
        <w:t>até </w:t>
      </w:r>
      <w:r>
        <w:rPr>
          <w:b/>
          <w:sz w:val="24"/>
        </w:rPr>
        <w:t>15 de agosto de 2019, </w:t>
      </w:r>
      <w:r>
        <w:rPr>
          <w:sz w:val="24"/>
        </w:rPr>
        <w:t>elaborar projeto técnico de descomissionamento ou descaracterização da estrutura, contendo, no mínimo, obras de reforço da barragem a jusante ou a construção de nova estrutura de contenção a jusante, com o objetivo de reduzir ou eliminar o risco de liquefação e o</w:t>
      </w:r>
      <w:r>
        <w:rPr>
          <w:spacing w:val="-8"/>
          <w:sz w:val="24"/>
        </w:rPr>
        <w:t> </w:t>
      </w:r>
      <w:r>
        <w:rPr>
          <w:sz w:val="24"/>
        </w:rPr>
        <w:t>DPA;</w:t>
      </w:r>
    </w:p>
    <w:p>
      <w:pPr>
        <w:pStyle w:val="BodyText"/>
        <w:spacing w:before="10"/>
        <w:rPr>
          <w:sz w:val="20"/>
        </w:rPr>
      </w:pPr>
    </w:p>
    <w:p>
      <w:pPr>
        <w:pStyle w:val="ListParagraph"/>
        <w:numPr>
          <w:ilvl w:val="0"/>
          <w:numId w:val="6"/>
        </w:numPr>
        <w:tabs>
          <w:tab w:pos="2782" w:val="left" w:leader="none"/>
        </w:tabs>
        <w:spacing w:line="278" w:lineRule="auto" w:before="0" w:after="0"/>
        <w:ind w:left="2782" w:right="1698" w:hanging="720"/>
        <w:jc w:val="both"/>
        <w:rPr>
          <w:sz w:val="24"/>
        </w:rPr>
      </w:pPr>
      <w:r>
        <w:rPr>
          <w:sz w:val="24"/>
        </w:rPr>
        <w:t>até </w:t>
      </w:r>
      <w:r>
        <w:rPr>
          <w:b/>
          <w:sz w:val="24"/>
        </w:rPr>
        <w:t>15 de fevereiro de 2020</w:t>
      </w:r>
      <w:r>
        <w:rPr>
          <w:sz w:val="24"/>
        </w:rPr>
        <w:t>, concluir as obras de reforço ou construção da estrutura de contenção a</w:t>
      </w:r>
      <w:r>
        <w:rPr>
          <w:spacing w:val="-3"/>
          <w:sz w:val="24"/>
        </w:rPr>
        <w:t> </w:t>
      </w:r>
      <w:r>
        <w:rPr>
          <w:sz w:val="24"/>
        </w:rPr>
        <w:t>jusante;</w:t>
      </w:r>
    </w:p>
    <w:p>
      <w:pPr>
        <w:pStyle w:val="BodyText"/>
        <w:spacing w:before="6"/>
        <w:rPr>
          <w:sz w:val="20"/>
        </w:rPr>
      </w:pPr>
    </w:p>
    <w:p>
      <w:pPr>
        <w:pStyle w:val="ListParagraph"/>
        <w:numPr>
          <w:ilvl w:val="0"/>
          <w:numId w:val="6"/>
        </w:numPr>
        <w:tabs>
          <w:tab w:pos="2782" w:val="left" w:leader="none"/>
        </w:tabs>
        <w:spacing w:line="276" w:lineRule="auto" w:before="0" w:after="0"/>
        <w:ind w:left="2782" w:right="1697" w:hanging="720"/>
        <w:jc w:val="both"/>
        <w:rPr>
          <w:sz w:val="24"/>
        </w:rPr>
      </w:pPr>
      <w:r>
        <w:rPr>
          <w:sz w:val="24"/>
        </w:rPr>
        <w:t>tratando-se de barragem inativa ou desativada, </w:t>
      </w:r>
      <w:r>
        <w:rPr>
          <w:b/>
          <w:sz w:val="24"/>
        </w:rPr>
        <w:t>até 15 de agosto de 2021</w:t>
      </w:r>
      <w:r>
        <w:rPr>
          <w:sz w:val="24"/>
        </w:rPr>
        <w:t>, concluir o descomissionamento ou a descaracterização da</w:t>
      </w:r>
      <w:r>
        <w:rPr>
          <w:spacing w:val="-6"/>
          <w:sz w:val="24"/>
        </w:rPr>
        <w:t> </w:t>
      </w:r>
      <w:r>
        <w:rPr>
          <w:sz w:val="24"/>
        </w:rPr>
        <w:t>barragem;</w:t>
      </w:r>
    </w:p>
    <w:p>
      <w:pPr>
        <w:pStyle w:val="BodyText"/>
        <w:spacing w:before="9"/>
        <w:rPr>
          <w:sz w:val="20"/>
        </w:rPr>
      </w:pPr>
    </w:p>
    <w:p>
      <w:pPr>
        <w:pStyle w:val="ListParagraph"/>
        <w:numPr>
          <w:ilvl w:val="0"/>
          <w:numId w:val="6"/>
        </w:numPr>
        <w:tabs>
          <w:tab w:pos="2782" w:val="left" w:leader="none"/>
        </w:tabs>
        <w:spacing w:line="276" w:lineRule="auto" w:before="1" w:after="0"/>
        <w:ind w:left="2782" w:right="1695" w:hanging="720"/>
        <w:jc w:val="both"/>
        <w:rPr>
          <w:sz w:val="24"/>
        </w:rPr>
      </w:pPr>
      <w:r>
        <w:rPr>
          <w:sz w:val="24"/>
        </w:rPr>
        <w:t>tratando-se de barragem ativa e em operação, até </w:t>
      </w:r>
      <w:r>
        <w:rPr>
          <w:b/>
          <w:sz w:val="24"/>
        </w:rPr>
        <w:t>15 de agosto de 2021</w:t>
      </w:r>
      <w:r>
        <w:rPr>
          <w:sz w:val="24"/>
        </w:rPr>
        <w:t>, desativá-la, e, até </w:t>
      </w:r>
      <w:r>
        <w:rPr>
          <w:b/>
          <w:sz w:val="24"/>
        </w:rPr>
        <w:t>15 de agosto de 2023</w:t>
      </w:r>
      <w:r>
        <w:rPr>
          <w:sz w:val="24"/>
        </w:rPr>
        <w:t>, concluir o descomissionamento ou  a descaracterização da</w:t>
      </w:r>
      <w:r>
        <w:rPr>
          <w:spacing w:val="-2"/>
          <w:sz w:val="24"/>
        </w:rPr>
        <w:t> </w:t>
      </w:r>
      <w:r>
        <w:rPr>
          <w:sz w:val="24"/>
        </w:rPr>
        <w:t>barragem.</w:t>
      </w:r>
    </w:p>
    <w:p>
      <w:pPr>
        <w:pStyle w:val="BodyText"/>
        <w:rPr>
          <w:sz w:val="20"/>
        </w:rPr>
      </w:pPr>
    </w:p>
    <w:p>
      <w:pPr>
        <w:pStyle w:val="BodyText"/>
        <w:rPr>
          <w:sz w:val="20"/>
        </w:rPr>
      </w:pPr>
    </w:p>
    <w:p>
      <w:pPr>
        <w:pStyle w:val="BodyText"/>
        <w:rPr>
          <w:sz w:val="20"/>
        </w:rPr>
      </w:pPr>
    </w:p>
    <w:p>
      <w:pPr>
        <w:pStyle w:val="BodyText"/>
        <w:spacing w:before="9"/>
        <w:rPr>
          <w:sz w:val="14"/>
        </w:rPr>
      </w:pPr>
      <w:r>
        <w:rPr/>
        <w:pict>
          <v:shape style="position:absolute;margin-left:475.660004pt;margin-top:9.733168pt;width:40.450pt;height:55.95pt;mso-position-horizontal-relative:page;mso-position-vertical-relative:paragraph;z-index:-136;mso-wrap-distance-left:0;mso-wrap-distance-right:0" type="#_x0000_t202" filled="true" fillcolor="#6fac46" stroked="false">
            <v:textbox inset="0,0,0,0">
              <w:txbxContent>
                <w:p>
                  <w:pPr>
                    <w:pStyle w:val="BodyText"/>
                    <w:spacing w:before="10"/>
                    <w:rPr>
                      <w:sz w:val="29"/>
                    </w:rPr>
                  </w:pPr>
                </w:p>
                <w:p>
                  <w:pPr>
                    <w:spacing w:before="0"/>
                    <w:ind w:left="220" w:right="0" w:firstLine="0"/>
                    <w:jc w:val="left"/>
                    <w:rPr>
                      <w:rFonts w:ascii="Arial"/>
                      <w:sz w:val="36"/>
                    </w:rPr>
                  </w:pPr>
                  <w:r>
                    <w:rPr>
                      <w:rFonts w:ascii="Arial"/>
                      <w:color w:val="FFFFFF"/>
                      <w:sz w:val="36"/>
                    </w:rPr>
                    <w:t>11</w:t>
                  </w:r>
                </w:p>
              </w:txbxContent>
            </v:textbox>
            <v:fill type="solid"/>
            <w10:wrap type="topAndBottom"/>
          </v:shape>
        </w:pict>
      </w:r>
    </w:p>
    <w:p>
      <w:pPr>
        <w:spacing w:after="0"/>
        <w:rPr>
          <w:sz w:val="14"/>
        </w:rPr>
        <w:sectPr>
          <w:type w:val="continuous"/>
          <w:pgSz w:w="11910" w:h="16840"/>
          <w:pgMar w:top="0" w:bottom="280" w:left="0" w:right="0"/>
        </w:sectPr>
      </w:pPr>
    </w:p>
    <w:p>
      <w:pPr>
        <w:pStyle w:val="BodyText"/>
        <w:rPr>
          <w:sz w:val="20"/>
        </w:rPr>
      </w:pPr>
    </w:p>
    <w:p>
      <w:pPr>
        <w:pStyle w:val="BodyText"/>
        <w:rPr>
          <w:sz w:val="20"/>
        </w:rPr>
      </w:pPr>
    </w:p>
    <w:p>
      <w:pPr>
        <w:pStyle w:val="BodyText"/>
        <w:spacing w:before="1"/>
        <w:rPr>
          <w:sz w:val="18"/>
        </w:rPr>
      </w:pPr>
    </w:p>
    <w:p>
      <w:pPr>
        <w:spacing w:after="0"/>
        <w:rPr>
          <w:sz w:val="18"/>
        </w:rPr>
        <w:sectPr>
          <w:pgSz w:w="11910" w:h="16840"/>
          <w:pgMar w:top="0" w:bottom="0" w:left="0" w:right="0"/>
        </w:sectPr>
      </w:pPr>
    </w:p>
    <w:p>
      <w:pPr>
        <w:pStyle w:val="Heading1"/>
        <w:spacing w:line="172" w:lineRule="auto"/>
      </w:pPr>
      <w:r>
        <w:rPr/>
        <w:drawing>
          <wp:anchor distT="0" distB="0" distL="0" distR="0" allowOverlap="1" layoutInCell="1" locked="0" behindDoc="0" simplePos="0" relativeHeight="2008">
            <wp:simplePos x="0" y="0"/>
            <wp:positionH relativeFrom="page">
              <wp:posOffset>979932</wp:posOffset>
            </wp:positionH>
            <wp:positionV relativeFrom="paragraph">
              <wp:posOffset>-9589</wp:posOffset>
            </wp:positionV>
            <wp:extent cx="1478280" cy="612648"/>
            <wp:effectExtent l="0" t="0" r="0" b="0"/>
            <wp:wrapNone/>
            <wp:docPr id="43" name="image8.png" descr=""/>
            <wp:cNvGraphicFramePr>
              <a:graphicFrameLocks noChangeAspect="1"/>
            </wp:cNvGraphicFramePr>
            <a:graphic>
              <a:graphicData uri="http://schemas.openxmlformats.org/drawingml/2006/picture">
                <pic:pic>
                  <pic:nvPicPr>
                    <pic:cNvPr id="44" name="image8.png"/>
                    <pic:cNvPicPr/>
                  </pic:nvPicPr>
                  <pic:blipFill>
                    <a:blip r:embed="rId12" cstate="print"/>
                    <a:stretch>
                      <a:fillRect/>
                    </a:stretch>
                  </pic:blipFill>
                  <pic:spPr>
                    <a:xfrm>
                      <a:off x="0" y="0"/>
                      <a:ext cx="1478280" cy="612648"/>
                    </a:xfrm>
                    <a:prstGeom prst="rect">
                      <a:avLst/>
                    </a:prstGeom>
                  </pic:spPr>
                </pic:pic>
              </a:graphicData>
            </a:graphic>
          </wp:anchor>
        </w:drawing>
      </w:r>
      <w:r>
        <w:rPr>
          <w:color w:val="385522"/>
        </w:rPr>
        <w:t>meio </w:t>
      </w:r>
      <w:r>
        <w:rPr>
          <w:color w:val="385522"/>
          <w:w w:val="95"/>
        </w:rPr>
        <w:t>ambiente</w:t>
      </w:r>
    </w:p>
    <w:p>
      <w:pPr>
        <w:spacing w:before="60"/>
        <w:ind w:left="455" w:right="0" w:firstLine="0"/>
        <w:jc w:val="left"/>
        <w:rPr>
          <w:rFonts w:ascii="Arial" w:hAnsi="Arial"/>
          <w:sz w:val="22"/>
        </w:rPr>
      </w:pPr>
      <w:r>
        <w:rPr/>
        <w:br w:type="column"/>
      </w:r>
      <w:r>
        <w:rPr>
          <w:rFonts w:ascii="Arial" w:hAnsi="Arial"/>
          <w:color w:val="385522"/>
          <w:sz w:val="22"/>
        </w:rPr>
        <w:t>Plano Municipal de Segurança de Barragens-PMSB</w:t>
      </w:r>
    </w:p>
    <w:p>
      <w:pPr>
        <w:spacing w:after="0"/>
        <w:jc w:val="left"/>
        <w:rPr>
          <w:rFonts w:ascii="Arial" w:hAnsi="Arial"/>
          <w:sz w:val="22"/>
        </w:rPr>
        <w:sectPr>
          <w:type w:val="continuous"/>
          <w:pgSz w:w="11910" w:h="16840"/>
          <w:pgMar w:top="0" w:bottom="280" w:left="0" w:right="0"/>
          <w:cols w:num="2" w:equalWidth="0">
            <w:col w:w="5155" w:space="77"/>
            <w:col w:w="6678"/>
          </w:cols>
        </w:sectPr>
      </w:pPr>
    </w:p>
    <w:p>
      <w:pPr>
        <w:pStyle w:val="BodyText"/>
        <w:rPr>
          <w:rFonts w:ascii="Arial"/>
          <w:sz w:val="20"/>
        </w:rPr>
      </w:pPr>
      <w:r>
        <w:rPr/>
        <w:drawing>
          <wp:anchor distT="0" distB="0" distL="0" distR="0" allowOverlap="1" layoutInCell="1" locked="0" behindDoc="0" simplePos="0" relativeHeight="2032">
            <wp:simplePos x="0" y="0"/>
            <wp:positionH relativeFrom="page">
              <wp:posOffset>288925</wp:posOffset>
            </wp:positionH>
            <wp:positionV relativeFrom="page">
              <wp:posOffset>634</wp:posOffset>
            </wp:positionV>
            <wp:extent cx="474344" cy="10691748"/>
            <wp:effectExtent l="0" t="0" r="0" b="0"/>
            <wp:wrapNone/>
            <wp:docPr id="45" name="image9.png" descr=""/>
            <wp:cNvGraphicFramePr>
              <a:graphicFrameLocks noChangeAspect="1"/>
            </wp:cNvGraphicFramePr>
            <a:graphic>
              <a:graphicData uri="http://schemas.openxmlformats.org/drawingml/2006/picture">
                <pic:pic>
                  <pic:nvPicPr>
                    <pic:cNvPr id="46" name="image9.png"/>
                    <pic:cNvPicPr/>
                  </pic:nvPicPr>
                  <pic:blipFill>
                    <a:blip r:embed="rId13" cstate="print"/>
                    <a:stretch>
                      <a:fillRect/>
                    </a:stretch>
                  </pic:blipFill>
                  <pic:spPr>
                    <a:xfrm>
                      <a:off x="0" y="0"/>
                      <a:ext cx="474344" cy="10691748"/>
                    </a:xfrm>
                    <a:prstGeom prst="rect">
                      <a:avLst/>
                    </a:prstGeom>
                  </pic:spPr>
                </pic:pic>
              </a:graphicData>
            </a:graphic>
          </wp:anchor>
        </w:drawing>
      </w:r>
    </w:p>
    <w:p>
      <w:pPr>
        <w:pStyle w:val="BodyText"/>
        <w:rPr>
          <w:rFonts w:ascii="Arial"/>
          <w:sz w:val="20"/>
        </w:rPr>
      </w:pPr>
    </w:p>
    <w:p>
      <w:pPr>
        <w:pStyle w:val="BodyText"/>
        <w:spacing w:before="8"/>
        <w:rPr>
          <w:rFonts w:ascii="Arial"/>
          <w:sz w:val="22"/>
        </w:rPr>
      </w:pPr>
    </w:p>
    <w:p>
      <w:pPr>
        <w:pStyle w:val="BodyText"/>
        <w:spacing w:line="360" w:lineRule="auto" w:before="1"/>
        <w:ind w:left="1702" w:right="1697"/>
        <w:jc w:val="both"/>
      </w:pPr>
      <w:r>
        <w:rPr/>
        <w:t>A hipótese descrita no item (iv), no entanto, não aplica-se a todas barragens à montante, mas apenas aos seguintes casos: </w:t>
      </w:r>
      <w:r>
        <w:rPr>
          <w:b/>
          <w:i/>
        </w:rPr>
        <w:t>a) </w:t>
      </w:r>
      <w:r>
        <w:rPr/>
        <w:t>se o projeto técnico garantir expressamente a segurança das operações e a estabilidade da estrutura, inclusive, enquanto as obras e ações nele previstas estiverem sendo conduzidas; e, </w:t>
      </w:r>
      <w:r>
        <w:rPr>
          <w:b/>
          <w:i/>
        </w:rPr>
        <w:t>b) </w:t>
      </w:r>
      <w:r>
        <w:rPr/>
        <w:t>se as obras de reforço da barragem a jusante ou a construção de nova estrutura de contenção a jusante tiverem sido</w:t>
      </w:r>
      <w:r>
        <w:rPr>
          <w:spacing w:val="-1"/>
        </w:rPr>
        <w:t> </w:t>
      </w:r>
      <w:r>
        <w:rPr/>
        <w:t>concluídas.</w:t>
      </w:r>
    </w:p>
    <w:p>
      <w:pPr>
        <w:pStyle w:val="BodyText"/>
        <w:spacing w:before="7"/>
        <w:rPr>
          <w:sz w:val="20"/>
        </w:rPr>
      </w:pPr>
    </w:p>
    <w:p>
      <w:pPr>
        <w:pStyle w:val="BodyText"/>
        <w:spacing w:line="360" w:lineRule="auto"/>
        <w:ind w:left="1702" w:right="1698"/>
        <w:jc w:val="both"/>
      </w:pPr>
      <w:r>
        <w:rPr/>
        <w:t>Cumpre ressaltar ainda, que os prazos supramencionados não se aplicam às barragens de mineração que reúnam as seguintes características: </w:t>
      </w:r>
      <w:r>
        <w:rPr>
          <w:b/>
          <w:i/>
        </w:rPr>
        <w:t>(i) </w:t>
      </w:r>
      <w:r>
        <w:rPr/>
        <w:t>tenham sido construídas ou alteadas no passado pelos métodos “a jusante”, “etapa única” ou “linha de centro”; </w:t>
      </w:r>
      <w:r>
        <w:rPr>
          <w:b/>
          <w:i/>
        </w:rPr>
        <w:t>(ii) </w:t>
      </w:r>
      <w:r>
        <w:rPr/>
        <w:t>o último alteamento tenha sido realizado a montante; </w:t>
      </w:r>
      <w:r>
        <w:rPr>
          <w:b/>
          <w:i/>
        </w:rPr>
        <w:t>(iii) </w:t>
      </w:r>
      <w:r>
        <w:rPr/>
        <w:t>esse último alteamento, realizado a montante, não tenha ultrapassado 5</w:t>
      </w:r>
      <w:r>
        <w:rPr>
          <w:spacing w:val="-4"/>
        </w:rPr>
        <w:t> </w:t>
      </w:r>
      <w:r>
        <w:rPr/>
        <w:t>metros.</w:t>
      </w:r>
    </w:p>
    <w:p>
      <w:pPr>
        <w:pStyle w:val="BodyText"/>
        <w:spacing w:before="1"/>
        <w:rPr>
          <w:sz w:val="21"/>
        </w:rPr>
      </w:pPr>
    </w:p>
    <w:p>
      <w:pPr>
        <w:spacing w:line="360" w:lineRule="auto" w:before="0"/>
        <w:ind w:left="1702" w:right="1695" w:firstLine="0"/>
        <w:jc w:val="both"/>
        <w:rPr>
          <w:sz w:val="24"/>
        </w:rPr>
      </w:pPr>
      <w:r>
        <w:rPr>
          <w:sz w:val="24"/>
        </w:rPr>
        <w:t>Nesta linha, também a </w:t>
      </w:r>
      <w:r>
        <w:rPr>
          <w:b/>
          <w:sz w:val="24"/>
        </w:rPr>
        <w:t>Lei 23.291, de 2019, que institui a Política Estadual de Segurança de Barragens no Estado de Minas Gerais</w:t>
      </w:r>
      <w:r>
        <w:rPr>
          <w:sz w:val="24"/>
        </w:rPr>
        <w:t>, a ser implementada de forma articulada com a </w:t>
      </w:r>
      <w:r>
        <w:rPr>
          <w:b/>
          <w:sz w:val="24"/>
        </w:rPr>
        <w:t>Política Nacional de Segurança de Barragens – PNSB</w:t>
      </w:r>
      <w:r>
        <w:rPr>
          <w:sz w:val="24"/>
        </w:rPr>
        <w:t>, estabelecida pela Lei Federal nº 12.334, de 20-09-2010, e com as </w:t>
      </w:r>
      <w:r>
        <w:rPr>
          <w:b/>
          <w:sz w:val="24"/>
        </w:rPr>
        <w:t>Políticas Nacional e Estadual de Meio Ambiente e de Proteção e Defesa Civil</w:t>
      </w:r>
      <w:r>
        <w:rPr>
          <w:sz w:val="24"/>
        </w:rPr>
        <w:t>, determinou a erradicação das barragens construídas pelo método de alteamento a montante.</w:t>
      </w:r>
    </w:p>
    <w:p>
      <w:pPr>
        <w:pStyle w:val="BodyText"/>
        <w:spacing w:before="10"/>
        <w:rPr>
          <w:sz w:val="20"/>
        </w:rPr>
      </w:pPr>
    </w:p>
    <w:p>
      <w:pPr>
        <w:spacing w:line="360" w:lineRule="auto" w:before="0"/>
        <w:ind w:left="1702" w:right="1696" w:firstLine="0"/>
        <w:jc w:val="both"/>
        <w:rPr>
          <w:sz w:val="24"/>
        </w:rPr>
      </w:pPr>
      <w:r>
        <w:rPr>
          <w:sz w:val="24"/>
        </w:rPr>
        <w:t>Dentre outras, a nova legislação estadual também determina que “</w:t>
      </w:r>
      <w:r>
        <w:rPr>
          <w:i/>
          <w:sz w:val="24"/>
        </w:rPr>
        <w:t>deve ser evitada a </w:t>
      </w:r>
      <w:r>
        <w:rPr>
          <w:i/>
          <w:sz w:val="24"/>
        </w:rPr>
        <w:t>acumulação, disposição final ou temporária de rejeitos e resíduos industriais ou de mineração por meio de barragens de qualquer tipo, sempre que houver melhor técnica disponível</w:t>
      </w:r>
      <w:r>
        <w:rPr>
          <w:sz w:val="24"/>
        </w:rPr>
        <w:t>”.</w:t>
      </w:r>
    </w:p>
    <w:p>
      <w:pPr>
        <w:pStyle w:val="BodyText"/>
        <w:spacing w:before="10"/>
        <w:rPr>
          <w:sz w:val="20"/>
        </w:rPr>
      </w:pPr>
    </w:p>
    <w:p>
      <w:pPr>
        <w:pStyle w:val="BodyText"/>
        <w:spacing w:line="360" w:lineRule="auto" w:before="1"/>
        <w:ind w:left="1702" w:right="1697"/>
        <w:jc w:val="both"/>
      </w:pPr>
      <w:r>
        <w:rPr/>
        <w:t>Assim, para  que  uma  nova  barragem  seja  autorizada  no  Estado  de  Minas  Gerias, o Estudo de Impacto Ambiental (EIA) deve comprovar que não há outras técnicas viáveis, tais como o empilhamento a</w:t>
      </w:r>
      <w:r>
        <w:rPr>
          <w:spacing w:val="-1"/>
        </w:rPr>
        <w:t> </w:t>
      </w:r>
      <w:r>
        <w:rPr/>
        <w:t>seco.</w:t>
      </w:r>
    </w:p>
    <w:p>
      <w:pPr>
        <w:pStyle w:val="BodyText"/>
        <w:spacing w:before="9"/>
        <w:rPr>
          <w:sz w:val="20"/>
        </w:rPr>
      </w:pPr>
    </w:p>
    <w:p>
      <w:pPr>
        <w:spacing w:line="360" w:lineRule="auto" w:before="0"/>
        <w:ind w:left="1702" w:right="1697" w:firstLine="0"/>
        <w:jc w:val="both"/>
        <w:rPr>
          <w:sz w:val="24"/>
        </w:rPr>
      </w:pPr>
      <w:r>
        <w:rPr>
          <w:sz w:val="24"/>
        </w:rPr>
        <w:t>O texto aprovado também “</w:t>
      </w:r>
      <w:r>
        <w:rPr>
          <w:i/>
          <w:sz w:val="24"/>
        </w:rPr>
        <w:t>não permite emissão de licenças concomitantes para as </w:t>
      </w:r>
      <w:r>
        <w:rPr>
          <w:i/>
          <w:sz w:val="24"/>
        </w:rPr>
        <w:t>diferentes fases do licenciamento ambiental</w:t>
      </w:r>
      <w:r>
        <w:rPr>
          <w:sz w:val="24"/>
        </w:rPr>
        <w:t>”, devendo passar distintamente pelas três etapas de liberação, (LP), (LI) e (LO), além da apresentação preliminar do EIA e do Relatório de Impacto Ambiental (Rima).</w:t>
      </w:r>
    </w:p>
    <w:p>
      <w:pPr>
        <w:pStyle w:val="BodyText"/>
        <w:rPr>
          <w:sz w:val="20"/>
        </w:rPr>
      </w:pPr>
    </w:p>
    <w:p>
      <w:pPr>
        <w:pStyle w:val="BodyText"/>
        <w:rPr>
          <w:sz w:val="20"/>
        </w:rPr>
      </w:pPr>
    </w:p>
    <w:p>
      <w:pPr>
        <w:pStyle w:val="BodyText"/>
        <w:spacing w:before="7"/>
        <w:rPr>
          <w:sz w:val="15"/>
        </w:rPr>
      </w:pPr>
      <w:r>
        <w:rPr/>
        <w:pict>
          <v:shape style="position:absolute;margin-left:475.660004pt;margin-top:10.190931pt;width:40.450pt;height:55.95pt;mso-position-horizontal-relative:page;mso-position-vertical-relative:paragraph;z-index:-64;mso-wrap-distance-left:0;mso-wrap-distance-right:0" type="#_x0000_t202" filled="true" fillcolor="#6fac46" stroked="false">
            <v:textbox inset="0,0,0,0">
              <w:txbxContent>
                <w:p>
                  <w:pPr>
                    <w:pStyle w:val="BodyText"/>
                    <w:spacing w:before="10"/>
                    <w:rPr>
                      <w:sz w:val="29"/>
                    </w:rPr>
                  </w:pPr>
                </w:p>
                <w:p>
                  <w:pPr>
                    <w:spacing w:before="0"/>
                    <w:ind w:left="220" w:right="0" w:firstLine="0"/>
                    <w:jc w:val="left"/>
                    <w:rPr>
                      <w:rFonts w:ascii="Arial"/>
                      <w:sz w:val="36"/>
                    </w:rPr>
                  </w:pPr>
                  <w:r>
                    <w:rPr>
                      <w:rFonts w:ascii="Arial"/>
                      <w:color w:val="FFFFFF"/>
                      <w:sz w:val="36"/>
                    </w:rPr>
                    <w:t>12</w:t>
                  </w:r>
                </w:p>
              </w:txbxContent>
            </v:textbox>
            <v:fill type="solid"/>
            <w10:wrap type="topAndBottom"/>
          </v:shape>
        </w:pict>
      </w:r>
    </w:p>
    <w:p>
      <w:pPr>
        <w:spacing w:after="0"/>
        <w:rPr>
          <w:sz w:val="15"/>
        </w:rPr>
        <w:sectPr>
          <w:type w:val="continuous"/>
          <w:pgSz w:w="11910" w:h="16840"/>
          <w:pgMar w:top="0" w:bottom="280" w:left="0" w:right="0"/>
        </w:sectPr>
      </w:pPr>
    </w:p>
    <w:p>
      <w:pPr>
        <w:pStyle w:val="BodyText"/>
        <w:rPr>
          <w:sz w:val="20"/>
        </w:rPr>
      </w:pPr>
    </w:p>
    <w:p>
      <w:pPr>
        <w:pStyle w:val="BodyText"/>
        <w:rPr>
          <w:sz w:val="20"/>
        </w:rPr>
      </w:pPr>
    </w:p>
    <w:p>
      <w:pPr>
        <w:pStyle w:val="BodyText"/>
        <w:spacing w:before="1"/>
        <w:rPr>
          <w:sz w:val="18"/>
        </w:rPr>
      </w:pPr>
    </w:p>
    <w:p>
      <w:pPr>
        <w:spacing w:after="0"/>
        <w:rPr>
          <w:sz w:val="18"/>
        </w:rPr>
        <w:sectPr>
          <w:pgSz w:w="11910" w:h="16840"/>
          <w:pgMar w:top="0" w:bottom="0" w:left="0" w:right="0"/>
        </w:sectPr>
      </w:pPr>
    </w:p>
    <w:p>
      <w:pPr>
        <w:pStyle w:val="Heading1"/>
        <w:spacing w:line="172" w:lineRule="auto"/>
      </w:pPr>
      <w:r>
        <w:rPr/>
        <w:drawing>
          <wp:anchor distT="0" distB="0" distL="0" distR="0" allowOverlap="1" layoutInCell="1" locked="0" behindDoc="0" simplePos="0" relativeHeight="2080">
            <wp:simplePos x="0" y="0"/>
            <wp:positionH relativeFrom="page">
              <wp:posOffset>979932</wp:posOffset>
            </wp:positionH>
            <wp:positionV relativeFrom="paragraph">
              <wp:posOffset>-9589</wp:posOffset>
            </wp:positionV>
            <wp:extent cx="1478280" cy="612648"/>
            <wp:effectExtent l="0" t="0" r="0" b="0"/>
            <wp:wrapNone/>
            <wp:docPr id="47" name="image8.png" descr=""/>
            <wp:cNvGraphicFramePr>
              <a:graphicFrameLocks noChangeAspect="1"/>
            </wp:cNvGraphicFramePr>
            <a:graphic>
              <a:graphicData uri="http://schemas.openxmlformats.org/drawingml/2006/picture">
                <pic:pic>
                  <pic:nvPicPr>
                    <pic:cNvPr id="48" name="image8.png"/>
                    <pic:cNvPicPr/>
                  </pic:nvPicPr>
                  <pic:blipFill>
                    <a:blip r:embed="rId12" cstate="print"/>
                    <a:stretch>
                      <a:fillRect/>
                    </a:stretch>
                  </pic:blipFill>
                  <pic:spPr>
                    <a:xfrm>
                      <a:off x="0" y="0"/>
                      <a:ext cx="1478280" cy="612648"/>
                    </a:xfrm>
                    <a:prstGeom prst="rect">
                      <a:avLst/>
                    </a:prstGeom>
                  </pic:spPr>
                </pic:pic>
              </a:graphicData>
            </a:graphic>
          </wp:anchor>
        </w:drawing>
      </w:r>
      <w:r>
        <w:rPr>
          <w:color w:val="385522"/>
        </w:rPr>
        <w:t>meio </w:t>
      </w:r>
      <w:r>
        <w:rPr>
          <w:color w:val="385522"/>
          <w:w w:val="95"/>
        </w:rPr>
        <w:t>ambiente</w:t>
      </w:r>
    </w:p>
    <w:p>
      <w:pPr>
        <w:spacing w:before="60"/>
        <w:ind w:left="455" w:right="0" w:firstLine="0"/>
        <w:jc w:val="left"/>
        <w:rPr>
          <w:rFonts w:ascii="Arial" w:hAnsi="Arial"/>
          <w:sz w:val="22"/>
        </w:rPr>
      </w:pPr>
      <w:r>
        <w:rPr/>
        <w:br w:type="column"/>
      </w:r>
      <w:r>
        <w:rPr>
          <w:rFonts w:ascii="Arial" w:hAnsi="Arial"/>
          <w:color w:val="385522"/>
          <w:sz w:val="22"/>
        </w:rPr>
        <w:t>Plano Municipal de Segurança de Barragens-PMSB</w:t>
      </w:r>
    </w:p>
    <w:p>
      <w:pPr>
        <w:spacing w:after="0"/>
        <w:jc w:val="left"/>
        <w:rPr>
          <w:rFonts w:ascii="Arial" w:hAnsi="Arial"/>
          <w:sz w:val="22"/>
        </w:rPr>
        <w:sectPr>
          <w:type w:val="continuous"/>
          <w:pgSz w:w="11910" w:h="16840"/>
          <w:pgMar w:top="0" w:bottom="280" w:left="0" w:right="0"/>
          <w:cols w:num="2" w:equalWidth="0">
            <w:col w:w="5155" w:space="77"/>
            <w:col w:w="6678"/>
          </w:cols>
        </w:sectPr>
      </w:pPr>
    </w:p>
    <w:p>
      <w:pPr>
        <w:pStyle w:val="BodyText"/>
        <w:rPr>
          <w:rFonts w:ascii="Arial"/>
          <w:sz w:val="20"/>
        </w:rPr>
      </w:pPr>
      <w:r>
        <w:rPr/>
        <w:drawing>
          <wp:anchor distT="0" distB="0" distL="0" distR="0" allowOverlap="1" layoutInCell="1" locked="0" behindDoc="0" simplePos="0" relativeHeight="2104">
            <wp:simplePos x="0" y="0"/>
            <wp:positionH relativeFrom="page">
              <wp:posOffset>288925</wp:posOffset>
            </wp:positionH>
            <wp:positionV relativeFrom="page">
              <wp:posOffset>634</wp:posOffset>
            </wp:positionV>
            <wp:extent cx="474344" cy="10691748"/>
            <wp:effectExtent l="0" t="0" r="0" b="0"/>
            <wp:wrapNone/>
            <wp:docPr id="49" name="image9.png" descr=""/>
            <wp:cNvGraphicFramePr>
              <a:graphicFrameLocks noChangeAspect="1"/>
            </wp:cNvGraphicFramePr>
            <a:graphic>
              <a:graphicData uri="http://schemas.openxmlformats.org/drawingml/2006/picture">
                <pic:pic>
                  <pic:nvPicPr>
                    <pic:cNvPr id="50" name="image9.png"/>
                    <pic:cNvPicPr/>
                  </pic:nvPicPr>
                  <pic:blipFill>
                    <a:blip r:embed="rId13" cstate="print"/>
                    <a:stretch>
                      <a:fillRect/>
                    </a:stretch>
                  </pic:blipFill>
                  <pic:spPr>
                    <a:xfrm>
                      <a:off x="0" y="0"/>
                      <a:ext cx="474344" cy="10691748"/>
                    </a:xfrm>
                    <a:prstGeom prst="rect">
                      <a:avLst/>
                    </a:prstGeom>
                  </pic:spPr>
                </pic:pic>
              </a:graphicData>
            </a:graphic>
          </wp:anchor>
        </w:drawing>
      </w:r>
    </w:p>
    <w:p>
      <w:pPr>
        <w:pStyle w:val="BodyText"/>
        <w:rPr>
          <w:rFonts w:ascii="Arial"/>
          <w:sz w:val="20"/>
        </w:rPr>
      </w:pPr>
    </w:p>
    <w:p>
      <w:pPr>
        <w:pStyle w:val="BodyText"/>
        <w:spacing w:before="8"/>
        <w:rPr>
          <w:rFonts w:ascii="Arial"/>
          <w:sz w:val="22"/>
        </w:rPr>
      </w:pPr>
    </w:p>
    <w:p>
      <w:pPr>
        <w:pStyle w:val="BodyText"/>
        <w:spacing w:line="360" w:lineRule="auto" w:before="1"/>
        <w:ind w:left="1702" w:right="1698"/>
        <w:jc w:val="both"/>
      </w:pPr>
      <w:r>
        <w:rPr/>
        <w:drawing>
          <wp:anchor distT="0" distB="0" distL="0" distR="0" allowOverlap="1" layoutInCell="1" locked="0" behindDoc="1" simplePos="0" relativeHeight="268332911">
            <wp:simplePos x="0" y="0"/>
            <wp:positionH relativeFrom="page">
              <wp:posOffset>1163955</wp:posOffset>
            </wp:positionH>
            <wp:positionV relativeFrom="paragraph">
              <wp:posOffset>1202023</wp:posOffset>
            </wp:positionV>
            <wp:extent cx="5125345" cy="1457325"/>
            <wp:effectExtent l="0" t="0" r="0" b="0"/>
            <wp:wrapNone/>
            <wp:docPr id="51" name="image11.png" descr=""/>
            <wp:cNvGraphicFramePr>
              <a:graphicFrameLocks noChangeAspect="1"/>
            </wp:cNvGraphicFramePr>
            <a:graphic>
              <a:graphicData uri="http://schemas.openxmlformats.org/drawingml/2006/picture">
                <pic:pic>
                  <pic:nvPicPr>
                    <pic:cNvPr id="52" name="image11.png"/>
                    <pic:cNvPicPr/>
                  </pic:nvPicPr>
                  <pic:blipFill>
                    <a:blip r:embed="rId18" cstate="print"/>
                    <a:stretch>
                      <a:fillRect/>
                    </a:stretch>
                  </pic:blipFill>
                  <pic:spPr>
                    <a:xfrm>
                      <a:off x="0" y="0"/>
                      <a:ext cx="5125345" cy="1457325"/>
                    </a:xfrm>
                    <a:prstGeom prst="rect">
                      <a:avLst/>
                    </a:prstGeom>
                  </pic:spPr>
                </pic:pic>
              </a:graphicData>
            </a:graphic>
          </wp:anchor>
        </w:drawing>
      </w:r>
      <w:r>
        <w:rPr/>
        <w:drawing>
          <wp:anchor distT="0" distB="0" distL="0" distR="0" allowOverlap="1" layoutInCell="1" locked="0" behindDoc="1" simplePos="0" relativeHeight="268332935">
            <wp:simplePos x="0" y="0"/>
            <wp:positionH relativeFrom="page">
              <wp:posOffset>1147700</wp:posOffset>
            </wp:positionH>
            <wp:positionV relativeFrom="paragraph">
              <wp:posOffset>3370847</wp:posOffset>
            </wp:positionV>
            <wp:extent cx="5122055" cy="1452657"/>
            <wp:effectExtent l="0" t="0" r="0" b="0"/>
            <wp:wrapNone/>
            <wp:docPr id="53" name="image12.png" descr=""/>
            <wp:cNvGraphicFramePr>
              <a:graphicFrameLocks noChangeAspect="1"/>
            </wp:cNvGraphicFramePr>
            <a:graphic>
              <a:graphicData uri="http://schemas.openxmlformats.org/drawingml/2006/picture">
                <pic:pic>
                  <pic:nvPicPr>
                    <pic:cNvPr id="54" name="image12.png"/>
                    <pic:cNvPicPr/>
                  </pic:nvPicPr>
                  <pic:blipFill>
                    <a:blip r:embed="rId19" cstate="print"/>
                    <a:stretch>
                      <a:fillRect/>
                    </a:stretch>
                  </pic:blipFill>
                  <pic:spPr>
                    <a:xfrm>
                      <a:off x="0" y="0"/>
                      <a:ext cx="5122055" cy="1452657"/>
                    </a:xfrm>
                    <a:prstGeom prst="rect">
                      <a:avLst/>
                    </a:prstGeom>
                  </pic:spPr>
                </pic:pic>
              </a:graphicData>
            </a:graphic>
          </wp:anchor>
        </w:drawing>
      </w:r>
      <w:r>
        <w:rPr/>
        <w:t>Para melhor visualização dos métodos construtivos que tratamos até aqui, seguem modelos ilustrativos das barragens de rejeito.</w:t>
      </w:r>
    </w:p>
    <w:p>
      <w:pPr>
        <w:pStyle w:val="BodyText"/>
        <w:rPr>
          <w:sz w:val="20"/>
        </w:rPr>
      </w:pPr>
    </w:p>
    <w:p>
      <w:pPr>
        <w:pStyle w:val="BodyText"/>
        <w:spacing w:before="7"/>
        <w:rPr>
          <w:sz w:val="25"/>
        </w:rPr>
      </w:pPr>
    </w:p>
    <w:tbl>
      <w:tblPr>
        <w:tblW w:w="0" w:type="auto"/>
        <w:jc w:val="left"/>
        <w:tblInd w:w="29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165"/>
      </w:tblGrid>
      <w:tr>
        <w:trPr>
          <w:trHeight w:val="1781" w:hRule="atLeast"/>
        </w:trPr>
        <w:tc>
          <w:tcPr>
            <w:tcW w:w="6165" w:type="dxa"/>
          </w:tcPr>
          <w:p>
            <w:pPr>
              <w:pStyle w:val="TableParagraph"/>
              <w:spacing w:line="268" w:lineRule="exact"/>
              <w:ind w:left="200"/>
              <w:rPr>
                <w:rFonts w:ascii="Arial" w:hAnsi="Arial"/>
                <w:sz w:val="24"/>
              </w:rPr>
            </w:pPr>
            <w:r>
              <w:rPr>
                <w:rFonts w:ascii="Arial" w:hAnsi="Arial"/>
                <w:sz w:val="24"/>
              </w:rPr>
              <w:t>Método alteamento por montante (Upstream)</w:t>
            </w:r>
          </w:p>
        </w:tc>
      </w:tr>
      <w:tr>
        <w:trPr>
          <w:trHeight w:val="3341" w:hRule="atLeast"/>
        </w:trPr>
        <w:tc>
          <w:tcPr>
            <w:tcW w:w="6165" w:type="dxa"/>
          </w:tcPr>
          <w:p>
            <w:pPr>
              <w:pStyle w:val="TableParagraph"/>
              <w:rPr>
                <w:sz w:val="26"/>
              </w:rPr>
            </w:pPr>
          </w:p>
          <w:p>
            <w:pPr>
              <w:pStyle w:val="TableParagraph"/>
              <w:rPr>
                <w:sz w:val="26"/>
              </w:rPr>
            </w:pPr>
          </w:p>
          <w:p>
            <w:pPr>
              <w:pStyle w:val="TableParagraph"/>
              <w:rPr>
                <w:sz w:val="26"/>
              </w:rPr>
            </w:pPr>
          </w:p>
          <w:p>
            <w:pPr>
              <w:pStyle w:val="TableParagraph"/>
              <w:rPr>
                <w:sz w:val="26"/>
              </w:rPr>
            </w:pPr>
          </w:p>
          <w:p>
            <w:pPr>
              <w:pStyle w:val="TableParagraph"/>
              <w:spacing w:before="11"/>
              <w:rPr>
                <w:sz w:val="26"/>
              </w:rPr>
            </w:pPr>
          </w:p>
          <w:p>
            <w:pPr>
              <w:pStyle w:val="TableParagraph"/>
              <w:ind w:left="200"/>
              <w:rPr>
                <w:rFonts w:ascii="Arial" w:hAnsi="Arial"/>
                <w:sz w:val="24"/>
              </w:rPr>
            </w:pPr>
            <w:r>
              <w:rPr>
                <w:rFonts w:ascii="Arial" w:hAnsi="Arial"/>
                <w:sz w:val="24"/>
              </w:rPr>
              <w:t>Método de alteamento por jusante (Downstream)</w:t>
            </w:r>
          </w:p>
        </w:tc>
      </w:tr>
      <w:tr>
        <w:trPr>
          <w:trHeight w:val="1827" w:hRule="atLeast"/>
        </w:trPr>
        <w:tc>
          <w:tcPr>
            <w:tcW w:w="6165" w:type="dxa"/>
          </w:tcPr>
          <w:p>
            <w:pPr>
              <w:pStyle w:val="TableParagraph"/>
              <w:rPr>
                <w:sz w:val="26"/>
              </w:rPr>
            </w:pPr>
          </w:p>
          <w:p>
            <w:pPr>
              <w:pStyle w:val="TableParagraph"/>
              <w:rPr>
                <w:sz w:val="26"/>
              </w:rPr>
            </w:pPr>
          </w:p>
          <w:p>
            <w:pPr>
              <w:pStyle w:val="TableParagraph"/>
              <w:rPr>
                <w:sz w:val="26"/>
              </w:rPr>
            </w:pPr>
          </w:p>
          <w:p>
            <w:pPr>
              <w:pStyle w:val="TableParagraph"/>
              <w:rPr>
                <w:sz w:val="26"/>
              </w:rPr>
            </w:pPr>
          </w:p>
          <w:p>
            <w:pPr>
              <w:pStyle w:val="TableParagraph"/>
              <w:spacing w:before="10"/>
              <w:rPr>
                <w:sz w:val="30"/>
              </w:rPr>
            </w:pPr>
          </w:p>
          <w:p>
            <w:pPr>
              <w:pStyle w:val="TableParagraph"/>
              <w:spacing w:line="256" w:lineRule="exact"/>
              <w:ind w:left="200"/>
              <w:rPr>
                <w:rFonts w:ascii="Arial" w:hAnsi="Arial"/>
                <w:sz w:val="24"/>
              </w:rPr>
            </w:pPr>
            <w:r>
              <w:rPr>
                <w:rFonts w:ascii="Arial" w:hAnsi="Arial"/>
                <w:sz w:val="24"/>
              </w:rPr>
              <w:t>Método de alteamento por linha de centro (Centerline)</w:t>
            </w:r>
          </w:p>
        </w:tc>
      </w:tr>
    </w:tbl>
    <w:p>
      <w:pPr>
        <w:pStyle w:val="BodyText"/>
        <w:ind w:left="1731"/>
        <w:rPr>
          <w:sz w:val="20"/>
        </w:rPr>
      </w:pPr>
      <w:r>
        <w:rPr>
          <w:sz w:val="20"/>
        </w:rPr>
        <w:drawing>
          <wp:inline distT="0" distB="0" distL="0" distR="0">
            <wp:extent cx="5313452" cy="1782222"/>
            <wp:effectExtent l="0" t="0" r="0" b="0"/>
            <wp:docPr id="55" name="image13.png" descr=""/>
            <wp:cNvGraphicFramePr>
              <a:graphicFrameLocks noChangeAspect="1"/>
            </wp:cNvGraphicFramePr>
            <a:graphic>
              <a:graphicData uri="http://schemas.openxmlformats.org/drawingml/2006/picture">
                <pic:pic>
                  <pic:nvPicPr>
                    <pic:cNvPr id="56" name="image13.png"/>
                    <pic:cNvPicPr/>
                  </pic:nvPicPr>
                  <pic:blipFill>
                    <a:blip r:embed="rId20" cstate="print"/>
                    <a:stretch>
                      <a:fillRect/>
                    </a:stretch>
                  </pic:blipFill>
                  <pic:spPr>
                    <a:xfrm>
                      <a:off x="0" y="0"/>
                      <a:ext cx="5313452" cy="1782222"/>
                    </a:xfrm>
                    <a:prstGeom prst="rect">
                      <a:avLst/>
                    </a:prstGeom>
                  </pic:spPr>
                </pic:pic>
              </a:graphicData>
            </a:graphic>
          </wp:inline>
        </w:drawing>
      </w:r>
      <w:r>
        <w:rPr>
          <w:sz w:val="20"/>
        </w:rPr>
      </w:r>
    </w:p>
    <w:p>
      <w:pPr>
        <w:pStyle w:val="BodyText"/>
        <w:rPr>
          <w:sz w:val="26"/>
        </w:rPr>
      </w:pPr>
    </w:p>
    <w:p>
      <w:pPr>
        <w:pStyle w:val="BodyText"/>
        <w:spacing w:before="4"/>
        <w:rPr>
          <w:sz w:val="25"/>
        </w:rPr>
      </w:pPr>
    </w:p>
    <w:p>
      <w:pPr>
        <w:pStyle w:val="BodyText"/>
        <w:spacing w:line="360" w:lineRule="auto"/>
        <w:ind w:left="1702" w:right="1698"/>
        <w:jc w:val="both"/>
      </w:pPr>
      <w:r>
        <w:rPr/>
        <w:t>O modelo construtivo a montante proporcionava até sua proibição, a edificação de barragens com menor custo ao empreendedor. Contudo, os frequentes acidentes nesta modalidade de alteamento foram fatores decisivos para por em dúvida tanto a</w:t>
      </w:r>
      <w:r>
        <w:rPr>
          <w:spacing w:val="53"/>
        </w:rPr>
        <w:t> </w:t>
      </w:r>
      <w:r>
        <w:rPr/>
        <w:t>eficiência</w:t>
      </w:r>
    </w:p>
    <w:p>
      <w:pPr>
        <w:pStyle w:val="BodyText"/>
        <w:rPr>
          <w:sz w:val="20"/>
        </w:rPr>
      </w:pPr>
    </w:p>
    <w:p>
      <w:pPr>
        <w:pStyle w:val="BodyText"/>
        <w:spacing w:before="4"/>
        <w:rPr>
          <w:sz w:val="22"/>
        </w:rPr>
      </w:pPr>
      <w:r>
        <w:rPr/>
        <w:pict>
          <v:shape style="position:absolute;margin-left:475.660004pt;margin-top:14.056771pt;width:40.450pt;height:55.95pt;mso-position-horizontal-relative:page;mso-position-vertical-relative:paragraph;z-index:8;mso-wrap-distance-left:0;mso-wrap-distance-right:0" type="#_x0000_t202" filled="true" fillcolor="#6fac46" stroked="false">
            <v:textbox inset="0,0,0,0">
              <w:txbxContent>
                <w:p>
                  <w:pPr>
                    <w:pStyle w:val="BodyText"/>
                    <w:spacing w:before="10"/>
                    <w:rPr>
                      <w:sz w:val="29"/>
                    </w:rPr>
                  </w:pPr>
                </w:p>
                <w:p>
                  <w:pPr>
                    <w:spacing w:before="0"/>
                    <w:ind w:left="220" w:right="0" w:firstLine="0"/>
                    <w:jc w:val="left"/>
                    <w:rPr>
                      <w:rFonts w:ascii="Arial"/>
                      <w:sz w:val="36"/>
                    </w:rPr>
                  </w:pPr>
                  <w:r>
                    <w:rPr>
                      <w:rFonts w:ascii="Arial"/>
                      <w:color w:val="FFFFFF"/>
                      <w:sz w:val="36"/>
                    </w:rPr>
                    <w:t>13</w:t>
                  </w:r>
                </w:p>
              </w:txbxContent>
            </v:textbox>
            <v:fill type="solid"/>
            <w10:wrap type="topAndBottom"/>
          </v:shape>
        </w:pict>
      </w:r>
    </w:p>
    <w:p>
      <w:pPr>
        <w:spacing w:after="0"/>
        <w:rPr>
          <w:sz w:val="22"/>
        </w:rPr>
        <w:sectPr>
          <w:type w:val="continuous"/>
          <w:pgSz w:w="11910" w:h="16840"/>
          <w:pgMar w:top="0" w:bottom="280" w:left="0" w:right="0"/>
        </w:sectPr>
      </w:pPr>
    </w:p>
    <w:p>
      <w:pPr>
        <w:pStyle w:val="BodyText"/>
        <w:rPr>
          <w:sz w:val="20"/>
        </w:rPr>
      </w:pPr>
    </w:p>
    <w:p>
      <w:pPr>
        <w:pStyle w:val="BodyText"/>
        <w:rPr>
          <w:sz w:val="20"/>
        </w:rPr>
      </w:pPr>
    </w:p>
    <w:p>
      <w:pPr>
        <w:pStyle w:val="BodyText"/>
        <w:spacing w:before="1"/>
        <w:rPr>
          <w:sz w:val="18"/>
        </w:rPr>
      </w:pPr>
    </w:p>
    <w:p>
      <w:pPr>
        <w:spacing w:after="0"/>
        <w:rPr>
          <w:sz w:val="18"/>
        </w:rPr>
        <w:sectPr>
          <w:pgSz w:w="11910" w:h="16840"/>
          <w:pgMar w:top="0" w:bottom="0" w:left="0" w:right="0"/>
        </w:sectPr>
      </w:pPr>
    </w:p>
    <w:p>
      <w:pPr>
        <w:pStyle w:val="Heading1"/>
        <w:spacing w:line="172" w:lineRule="auto"/>
      </w:pPr>
      <w:r>
        <w:rPr/>
        <w:drawing>
          <wp:anchor distT="0" distB="0" distL="0" distR="0" allowOverlap="1" layoutInCell="1" locked="0" behindDoc="0" simplePos="0" relativeHeight="2224">
            <wp:simplePos x="0" y="0"/>
            <wp:positionH relativeFrom="page">
              <wp:posOffset>979932</wp:posOffset>
            </wp:positionH>
            <wp:positionV relativeFrom="paragraph">
              <wp:posOffset>-9589</wp:posOffset>
            </wp:positionV>
            <wp:extent cx="1478280" cy="612648"/>
            <wp:effectExtent l="0" t="0" r="0" b="0"/>
            <wp:wrapNone/>
            <wp:docPr id="57" name="image8.png" descr=""/>
            <wp:cNvGraphicFramePr>
              <a:graphicFrameLocks noChangeAspect="1"/>
            </wp:cNvGraphicFramePr>
            <a:graphic>
              <a:graphicData uri="http://schemas.openxmlformats.org/drawingml/2006/picture">
                <pic:pic>
                  <pic:nvPicPr>
                    <pic:cNvPr id="58" name="image8.png"/>
                    <pic:cNvPicPr/>
                  </pic:nvPicPr>
                  <pic:blipFill>
                    <a:blip r:embed="rId12" cstate="print"/>
                    <a:stretch>
                      <a:fillRect/>
                    </a:stretch>
                  </pic:blipFill>
                  <pic:spPr>
                    <a:xfrm>
                      <a:off x="0" y="0"/>
                      <a:ext cx="1478280" cy="612648"/>
                    </a:xfrm>
                    <a:prstGeom prst="rect">
                      <a:avLst/>
                    </a:prstGeom>
                  </pic:spPr>
                </pic:pic>
              </a:graphicData>
            </a:graphic>
          </wp:anchor>
        </w:drawing>
      </w:r>
      <w:r>
        <w:rPr>
          <w:color w:val="385522"/>
        </w:rPr>
        <w:t>meio </w:t>
      </w:r>
      <w:r>
        <w:rPr>
          <w:color w:val="385522"/>
          <w:w w:val="95"/>
        </w:rPr>
        <w:t>ambiente</w:t>
      </w:r>
    </w:p>
    <w:p>
      <w:pPr>
        <w:spacing w:before="60"/>
        <w:ind w:left="455" w:right="0" w:firstLine="0"/>
        <w:jc w:val="left"/>
        <w:rPr>
          <w:rFonts w:ascii="Arial" w:hAnsi="Arial"/>
          <w:sz w:val="22"/>
        </w:rPr>
      </w:pPr>
      <w:r>
        <w:rPr/>
        <w:br w:type="column"/>
      </w:r>
      <w:r>
        <w:rPr>
          <w:rFonts w:ascii="Arial" w:hAnsi="Arial"/>
          <w:color w:val="385522"/>
          <w:sz w:val="22"/>
        </w:rPr>
        <w:t>Plano Municipal de Segurança de Barragens-PMSB</w:t>
      </w:r>
    </w:p>
    <w:p>
      <w:pPr>
        <w:spacing w:after="0"/>
        <w:jc w:val="left"/>
        <w:rPr>
          <w:rFonts w:ascii="Arial" w:hAnsi="Arial"/>
          <w:sz w:val="22"/>
        </w:rPr>
        <w:sectPr>
          <w:type w:val="continuous"/>
          <w:pgSz w:w="11910" w:h="16840"/>
          <w:pgMar w:top="0" w:bottom="280" w:left="0" w:right="0"/>
          <w:cols w:num="2" w:equalWidth="0">
            <w:col w:w="5155" w:space="77"/>
            <w:col w:w="6678"/>
          </w:cols>
        </w:sectPr>
      </w:pPr>
    </w:p>
    <w:p>
      <w:pPr>
        <w:pStyle w:val="BodyText"/>
        <w:rPr>
          <w:rFonts w:ascii="Arial"/>
          <w:sz w:val="20"/>
        </w:rPr>
      </w:pPr>
      <w:r>
        <w:rPr/>
        <w:drawing>
          <wp:anchor distT="0" distB="0" distL="0" distR="0" allowOverlap="1" layoutInCell="1" locked="0" behindDoc="0" simplePos="0" relativeHeight="2248">
            <wp:simplePos x="0" y="0"/>
            <wp:positionH relativeFrom="page">
              <wp:posOffset>288925</wp:posOffset>
            </wp:positionH>
            <wp:positionV relativeFrom="page">
              <wp:posOffset>634</wp:posOffset>
            </wp:positionV>
            <wp:extent cx="474344" cy="10691748"/>
            <wp:effectExtent l="0" t="0" r="0" b="0"/>
            <wp:wrapNone/>
            <wp:docPr id="59" name="image9.png" descr=""/>
            <wp:cNvGraphicFramePr>
              <a:graphicFrameLocks noChangeAspect="1"/>
            </wp:cNvGraphicFramePr>
            <a:graphic>
              <a:graphicData uri="http://schemas.openxmlformats.org/drawingml/2006/picture">
                <pic:pic>
                  <pic:nvPicPr>
                    <pic:cNvPr id="60" name="image9.png"/>
                    <pic:cNvPicPr/>
                  </pic:nvPicPr>
                  <pic:blipFill>
                    <a:blip r:embed="rId13" cstate="print"/>
                    <a:stretch>
                      <a:fillRect/>
                    </a:stretch>
                  </pic:blipFill>
                  <pic:spPr>
                    <a:xfrm>
                      <a:off x="0" y="0"/>
                      <a:ext cx="474344" cy="10691748"/>
                    </a:xfrm>
                    <a:prstGeom prst="rect">
                      <a:avLst/>
                    </a:prstGeom>
                  </pic:spPr>
                </pic:pic>
              </a:graphicData>
            </a:graphic>
          </wp:anchor>
        </w:drawing>
      </w:r>
    </w:p>
    <w:p>
      <w:pPr>
        <w:pStyle w:val="BodyText"/>
        <w:rPr>
          <w:rFonts w:ascii="Arial"/>
          <w:sz w:val="20"/>
        </w:rPr>
      </w:pPr>
    </w:p>
    <w:p>
      <w:pPr>
        <w:pStyle w:val="BodyText"/>
        <w:spacing w:before="8"/>
        <w:rPr>
          <w:rFonts w:ascii="Arial"/>
          <w:sz w:val="22"/>
        </w:rPr>
      </w:pPr>
    </w:p>
    <w:p>
      <w:pPr>
        <w:pStyle w:val="BodyText"/>
        <w:spacing w:line="360" w:lineRule="auto" w:before="1"/>
        <w:ind w:left="1702" w:right="1696"/>
        <w:jc w:val="both"/>
      </w:pPr>
      <w:r>
        <w:rPr/>
        <w:t>técnica quanto ao seu método de construção, quanto a real garantia de estabilidade destas barragens que eram atestadas junto aos órgãos fiscalizadores e por consequência à</w:t>
      </w:r>
      <w:r>
        <w:rPr>
          <w:spacing w:val="-2"/>
        </w:rPr>
        <w:t> </w:t>
      </w:r>
      <w:r>
        <w:rPr/>
        <w:t>sociedade.</w:t>
      </w:r>
    </w:p>
    <w:p>
      <w:pPr>
        <w:pStyle w:val="BodyText"/>
        <w:spacing w:before="8"/>
        <w:rPr>
          <w:sz w:val="20"/>
        </w:rPr>
      </w:pPr>
    </w:p>
    <w:p>
      <w:pPr>
        <w:pStyle w:val="BodyText"/>
        <w:spacing w:line="360" w:lineRule="auto"/>
        <w:ind w:left="1702" w:right="1697"/>
        <w:jc w:val="both"/>
      </w:pPr>
      <w:r>
        <w:rPr/>
        <w:t>Com o advento da tragédia da Vale Mineração na cidade de Brumadinho, o consenso se firmou no sentido de que as barragens já construídas ou alteadas no método à montante, principalmente as mais antigas, cujas características e históricos de fundação são comumente desconhecidos, passaram a ser identificadas como estruturas que devem ser descomissionadas ou descaracterizadas, num menor espaço de tempo, devendo receber um acompanhamento e monitoramento mais próximo e intenso até que tais ações sejam concluídas.</w:t>
      </w:r>
    </w:p>
    <w:p>
      <w:pPr>
        <w:pStyle w:val="BodyText"/>
        <w:spacing w:before="10"/>
        <w:rPr>
          <w:sz w:val="20"/>
        </w:rPr>
      </w:pPr>
    </w:p>
    <w:p>
      <w:pPr>
        <w:pStyle w:val="BodyText"/>
        <w:spacing w:line="360" w:lineRule="auto"/>
        <w:ind w:left="1702" w:right="1698"/>
        <w:jc w:val="both"/>
      </w:pPr>
      <w:r>
        <w:rPr/>
        <w:t>E essa situação foi o gatilho para alterações e inovações legais que passaram a ser discutidas e editadas desde então.</w:t>
      </w:r>
    </w:p>
    <w:p>
      <w:pPr>
        <w:pStyle w:val="BodyText"/>
        <w:spacing w:before="10"/>
        <w:rPr>
          <w:sz w:val="20"/>
        </w:rPr>
      </w:pPr>
    </w:p>
    <w:p>
      <w:pPr>
        <w:pStyle w:val="BodyText"/>
        <w:spacing w:line="360" w:lineRule="auto"/>
        <w:ind w:left="1702" w:right="1699"/>
        <w:jc w:val="both"/>
      </w:pPr>
      <w:r>
        <w:rPr/>
        <w:t>Segundo dados colhidos na Agência Nacional de Mineração, existem cerca de 429 barragens inseridas na Política Nacional de Segurança de Barragens (PNSB), distribuídas segundo os métodos construtivos que segue no gráfico:</w:t>
      </w:r>
    </w:p>
    <w:p>
      <w:pPr>
        <w:pStyle w:val="BodyText"/>
        <w:rPr>
          <w:sz w:val="18"/>
        </w:rPr>
      </w:pPr>
      <w:r>
        <w:rPr/>
        <w:drawing>
          <wp:anchor distT="0" distB="0" distL="0" distR="0" allowOverlap="1" layoutInCell="1" locked="0" behindDoc="0" simplePos="0" relativeHeight="128">
            <wp:simplePos x="0" y="0"/>
            <wp:positionH relativeFrom="page">
              <wp:posOffset>1080135</wp:posOffset>
            </wp:positionH>
            <wp:positionV relativeFrom="paragraph">
              <wp:posOffset>156503</wp:posOffset>
            </wp:positionV>
            <wp:extent cx="5420289" cy="2854642"/>
            <wp:effectExtent l="0" t="0" r="0" b="0"/>
            <wp:wrapTopAndBottom/>
            <wp:docPr id="61" name="image14.jpeg" descr=""/>
            <wp:cNvGraphicFramePr>
              <a:graphicFrameLocks noChangeAspect="1"/>
            </wp:cNvGraphicFramePr>
            <a:graphic>
              <a:graphicData uri="http://schemas.openxmlformats.org/drawingml/2006/picture">
                <pic:pic>
                  <pic:nvPicPr>
                    <pic:cNvPr id="62" name="image14.jpeg"/>
                    <pic:cNvPicPr/>
                  </pic:nvPicPr>
                  <pic:blipFill>
                    <a:blip r:embed="rId21" cstate="print"/>
                    <a:stretch>
                      <a:fillRect/>
                    </a:stretch>
                  </pic:blipFill>
                  <pic:spPr>
                    <a:xfrm>
                      <a:off x="0" y="0"/>
                      <a:ext cx="5420289" cy="2854642"/>
                    </a:xfrm>
                    <a:prstGeom prst="rect">
                      <a:avLst/>
                    </a:prstGeom>
                  </pic:spPr>
                </pic:pic>
              </a:graphicData>
            </a:graphic>
          </wp:anchor>
        </w:drawing>
      </w:r>
    </w:p>
    <w:p>
      <w:pPr>
        <w:pStyle w:val="BodyText"/>
        <w:spacing w:before="7"/>
        <w:rPr>
          <w:sz w:val="28"/>
        </w:rPr>
      </w:pPr>
    </w:p>
    <w:p>
      <w:pPr>
        <w:pStyle w:val="BodyText"/>
        <w:spacing w:line="360" w:lineRule="auto"/>
        <w:ind w:left="1702" w:right="1703"/>
        <w:jc w:val="both"/>
      </w:pPr>
      <w:r>
        <w:rPr/>
        <w:t>Já as barragens de acumulação de água, podem ser definidas como sendo um elemento estrutural, construídas transversalmente à direção de escoamento de um curso d'água,</w:t>
      </w:r>
    </w:p>
    <w:p>
      <w:pPr>
        <w:pStyle w:val="BodyText"/>
        <w:rPr>
          <w:sz w:val="20"/>
        </w:rPr>
      </w:pPr>
    </w:p>
    <w:p>
      <w:pPr>
        <w:pStyle w:val="BodyText"/>
        <w:spacing w:before="11"/>
        <w:rPr>
          <w:sz w:val="29"/>
        </w:rPr>
      </w:pPr>
      <w:r>
        <w:rPr/>
        <w:pict>
          <v:shape style="position:absolute;margin-left:475.660004pt;margin-top:18.446859pt;width:40.450pt;height:55.95pt;mso-position-horizontal-relative:page;mso-position-vertical-relative:paragraph;z-index:152;mso-wrap-distance-left:0;mso-wrap-distance-right:0" type="#_x0000_t202" filled="true" fillcolor="#6fac46" stroked="false">
            <v:textbox inset="0,0,0,0">
              <w:txbxContent>
                <w:p>
                  <w:pPr>
                    <w:pStyle w:val="BodyText"/>
                    <w:spacing w:before="10"/>
                    <w:rPr>
                      <w:sz w:val="29"/>
                    </w:rPr>
                  </w:pPr>
                </w:p>
                <w:p>
                  <w:pPr>
                    <w:spacing w:before="0"/>
                    <w:ind w:left="220" w:right="0" w:firstLine="0"/>
                    <w:jc w:val="left"/>
                    <w:rPr>
                      <w:rFonts w:ascii="Arial"/>
                      <w:sz w:val="36"/>
                    </w:rPr>
                  </w:pPr>
                  <w:r>
                    <w:rPr>
                      <w:rFonts w:ascii="Arial"/>
                      <w:color w:val="FFFFFF"/>
                      <w:sz w:val="36"/>
                    </w:rPr>
                    <w:t>14</w:t>
                  </w:r>
                </w:p>
              </w:txbxContent>
            </v:textbox>
            <v:fill type="solid"/>
            <w10:wrap type="topAndBottom"/>
          </v:shape>
        </w:pict>
      </w:r>
    </w:p>
    <w:p>
      <w:pPr>
        <w:spacing w:after="0"/>
        <w:rPr>
          <w:sz w:val="29"/>
        </w:rPr>
        <w:sectPr>
          <w:type w:val="continuous"/>
          <w:pgSz w:w="11910" w:h="16840"/>
          <w:pgMar w:top="0" w:bottom="280" w:left="0" w:right="0"/>
        </w:sectPr>
      </w:pPr>
    </w:p>
    <w:p>
      <w:pPr>
        <w:pStyle w:val="BodyText"/>
        <w:rPr>
          <w:sz w:val="20"/>
        </w:rPr>
      </w:pPr>
    </w:p>
    <w:p>
      <w:pPr>
        <w:pStyle w:val="BodyText"/>
        <w:rPr>
          <w:sz w:val="20"/>
        </w:rPr>
      </w:pPr>
    </w:p>
    <w:p>
      <w:pPr>
        <w:pStyle w:val="BodyText"/>
        <w:spacing w:before="1"/>
        <w:rPr>
          <w:sz w:val="18"/>
        </w:rPr>
      </w:pPr>
    </w:p>
    <w:p>
      <w:pPr>
        <w:spacing w:after="0"/>
        <w:rPr>
          <w:sz w:val="18"/>
        </w:rPr>
        <w:sectPr>
          <w:pgSz w:w="11910" w:h="16840"/>
          <w:pgMar w:top="0" w:bottom="0" w:left="0" w:right="0"/>
        </w:sectPr>
      </w:pPr>
    </w:p>
    <w:p>
      <w:pPr>
        <w:pStyle w:val="Heading1"/>
        <w:spacing w:line="172" w:lineRule="auto"/>
      </w:pPr>
      <w:r>
        <w:rPr/>
        <w:drawing>
          <wp:anchor distT="0" distB="0" distL="0" distR="0" allowOverlap="1" layoutInCell="1" locked="0" behindDoc="0" simplePos="0" relativeHeight="2344">
            <wp:simplePos x="0" y="0"/>
            <wp:positionH relativeFrom="page">
              <wp:posOffset>979932</wp:posOffset>
            </wp:positionH>
            <wp:positionV relativeFrom="paragraph">
              <wp:posOffset>-9589</wp:posOffset>
            </wp:positionV>
            <wp:extent cx="1478280" cy="612648"/>
            <wp:effectExtent l="0" t="0" r="0" b="0"/>
            <wp:wrapNone/>
            <wp:docPr id="63" name="image8.png" descr=""/>
            <wp:cNvGraphicFramePr>
              <a:graphicFrameLocks noChangeAspect="1"/>
            </wp:cNvGraphicFramePr>
            <a:graphic>
              <a:graphicData uri="http://schemas.openxmlformats.org/drawingml/2006/picture">
                <pic:pic>
                  <pic:nvPicPr>
                    <pic:cNvPr id="64" name="image8.png"/>
                    <pic:cNvPicPr/>
                  </pic:nvPicPr>
                  <pic:blipFill>
                    <a:blip r:embed="rId12" cstate="print"/>
                    <a:stretch>
                      <a:fillRect/>
                    </a:stretch>
                  </pic:blipFill>
                  <pic:spPr>
                    <a:xfrm>
                      <a:off x="0" y="0"/>
                      <a:ext cx="1478280" cy="612648"/>
                    </a:xfrm>
                    <a:prstGeom prst="rect">
                      <a:avLst/>
                    </a:prstGeom>
                  </pic:spPr>
                </pic:pic>
              </a:graphicData>
            </a:graphic>
          </wp:anchor>
        </w:drawing>
      </w:r>
      <w:r>
        <w:rPr>
          <w:color w:val="385522"/>
        </w:rPr>
        <w:t>meio </w:t>
      </w:r>
      <w:r>
        <w:rPr>
          <w:color w:val="385522"/>
          <w:w w:val="95"/>
        </w:rPr>
        <w:t>ambiente</w:t>
      </w:r>
    </w:p>
    <w:p>
      <w:pPr>
        <w:spacing w:before="60"/>
        <w:ind w:left="455" w:right="0" w:firstLine="0"/>
        <w:jc w:val="left"/>
        <w:rPr>
          <w:rFonts w:ascii="Arial" w:hAnsi="Arial"/>
          <w:sz w:val="22"/>
        </w:rPr>
      </w:pPr>
      <w:r>
        <w:rPr/>
        <w:br w:type="column"/>
      </w:r>
      <w:r>
        <w:rPr>
          <w:rFonts w:ascii="Arial" w:hAnsi="Arial"/>
          <w:color w:val="385522"/>
          <w:sz w:val="22"/>
        </w:rPr>
        <w:t>Plano Municipal de Segurança de Barragens-PMSB</w:t>
      </w:r>
    </w:p>
    <w:p>
      <w:pPr>
        <w:spacing w:after="0"/>
        <w:jc w:val="left"/>
        <w:rPr>
          <w:rFonts w:ascii="Arial" w:hAnsi="Arial"/>
          <w:sz w:val="22"/>
        </w:rPr>
        <w:sectPr>
          <w:type w:val="continuous"/>
          <w:pgSz w:w="11910" w:h="16840"/>
          <w:pgMar w:top="0" w:bottom="280" w:left="0" w:right="0"/>
          <w:cols w:num="2" w:equalWidth="0">
            <w:col w:w="5155" w:space="77"/>
            <w:col w:w="6678"/>
          </w:cols>
        </w:sectPr>
      </w:pPr>
    </w:p>
    <w:p>
      <w:pPr>
        <w:pStyle w:val="BodyText"/>
        <w:rPr>
          <w:rFonts w:ascii="Arial"/>
          <w:sz w:val="20"/>
        </w:rPr>
      </w:pPr>
      <w:r>
        <w:rPr/>
        <w:drawing>
          <wp:anchor distT="0" distB="0" distL="0" distR="0" allowOverlap="1" layoutInCell="1" locked="0" behindDoc="0" simplePos="0" relativeHeight="2368">
            <wp:simplePos x="0" y="0"/>
            <wp:positionH relativeFrom="page">
              <wp:posOffset>288925</wp:posOffset>
            </wp:positionH>
            <wp:positionV relativeFrom="page">
              <wp:posOffset>634</wp:posOffset>
            </wp:positionV>
            <wp:extent cx="474344" cy="10691748"/>
            <wp:effectExtent l="0" t="0" r="0" b="0"/>
            <wp:wrapNone/>
            <wp:docPr id="65" name="image9.png" descr=""/>
            <wp:cNvGraphicFramePr>
              <a:graphicFrameLocks noChangeAspect="1"/>
            </wp:cNvGraphicFramePr>
            <a:graphic>
              <a:graphicData uri="http://schemas.openxmlformats.org/drawingml/2006/picture">
                <pic:pic>
                  <pic:nvPicPr>
                    <pic:cNvPr id="66" name="image9.png"/>
                    <pic:cNvPicPr/>
                  </pic:nvPicPr>
                  <pic:blipFill>
                    <a:blip r:embed="rId13" cstate="print"/>
                    <a:stretch>
                      <a:fillRect/>
                    </a:stretch>
                  </pic:blipFill>
                  <pic:spPr>
                    <a:xfrm>
                      <a:off x="0" y="0"/>
                      <a:ext cx="474344" cy="10691748"/>
                    </a:xfrm>
                    <a:prstGeom prst="rect">
                      <a:avLst/>
                    </a:prstGeom>
                  </pic:spPr>
                </pic:pic>
              </a:graphicData>
            </a:graphic>
          </wp:anchor>
        </w:drawing>
      </w:r>
    </w:p>
    <w:p>
      <w:pPr>
        <w:pStyle w:val="BodyText"/>
        <w:rPr>
          <w:rFonts w:ascii="Arial"/>
          <w:sz w:val="20"/>
        </w:rPr>
      </w:pPr>
    </w:p>
    <w:p>
      <w:pPr>
        <w:pStyle w:val="BodyText"/>
        <w:spacing w:before="8"/>
        <w:rPr>
          <w:rFonts w:ascii="Arial"/>
          <w:sz w:val="22"/>
        </w:rPr>
      </w:pPr>
    </w:p>
    <w:p>
      <w:pPr>
        <w:pStyle w:val="BodyText"/>
        <w:spacing w:line="360" w:lineRule="auto" w:before="1"/>
        <w:ind w:left="1702" w:right="1697"/>
        <w:jc w:val="both"/>
      </w:pPr>
      <w:r>
        <w:rPr/>
        <w:t>destinadas a criação de um reservatório artificial, podendo ter utilização em diversas finalidades.</w:t>
      </w:r>
    </w:p>
    <w:p>
      <w:pPr>
        <w:pStyle w:val="BodyText"/>
        <w:spacing w:before="9"/>
        <w:rPr>
          <w:sz w:val="20"/>
        </w:rPr>
      </w:pPr>
    </w:p>
    <w:p>
      <w:pPr>
        <w:pStyle w:val="BodyText"/>
        <w:spacing w:line="360" w:lineRule="auto" w:before="1"/>
        <w:ind w:left="1702" w:right="1695"/>
        <w:jc w:val="both"/>
      </w:pPr>
      <w:r>
        <w:rPr/>
        <w:t>Os objetivos que para a construção destas estruturas são vários, sendo os principais conforme descritos: </w:t>
      </w:r>
      <w:r>
        <w:rPr>
          <w:i/>
        </w:rPr>
        <w:t>a) </w:t>
      </w:r>
      <w:r>
        <w:rPr/>
        <w:t>aproveitamento hidrelétrico; </w:t>
      </w:r>
      <w:r>
        <w:rPr>
          <w:i/>
        </w:rPr>
        <w:t>b) </w:t>
      </w:r>
      <w:r>
        <w:rPr/>
        <w:t>regularização das vazões de curso d’água para fins de navegação; </w:t>
      </w:r>
      <w:r>
        <w:rPr>
          <w:i/>
        </w:rPr>
        <w:t>c) </w:t>
      </w:r>
      <w:r>
        <w:rPr/>
        <w:t>controle de inundações; </w:t>
      </w:r>
      <w:r>
        <w:rPr>
          <w:i/>
        </w:rPr>
        <w:t>d) </w:t>
      </w:r>
      <w:r>
        <w:rPr/>
        <w:t>irrigação; e, </w:t>
      </w:r>
      <w:r>
        <w:rPr>
          <w:i/>
        </w:rPr>
        <w:t>e) </w:t>
      </w:r>
      <w:r>
        <w:rPr/>
        <w:t>abastecimento doméstico e industrial de água, como no caso do Lago</w:t>
      </w:r>
      <w:r>
        <w:rPr>
          <w:spacing w:val="-3"/>
        </w:rPr>
        <w:t> </w:t>
      </w:r>
      <w:r>
        <w:rPr/>
        <w:t>Soledade.</w:t>
      </w:r>
    </w:p>
    <w:p>
      <w:pPr>
        <w:pStyle w:val="BodyText"/>
        <w:spacing w:before="7"/>
        <w:rPr>
          <w:sz w:val="20"/>
        </w:rPr>
      </w:pPr>
    </w:p>
    <w:p>
      <w:pPr>
        <w:pStyle w:val="BodyText"/>
        <w:spacing w:line="360" w:lineRule="auto"/>
        <w:ind w:left="1702" w:right="1696"/>
        <w:jc w:val="both"/>
      </w:pPr>
      <w:r>
        <w:rPr/>
        <w:t>A estrutura da Barragem Soledade localiza-se nas divisas do município de Congonhas e Ouro Branco e é de propriedade da empresa Gerdau Açominas S.A. Sua construção foi concluída ao final da década de 70 e sua principal utilização é a contenção e captação de água para atender a demanda industrial da usina da empresa.</w:t>
      </w:r>
    </w:p>
    <w:p>
      <w:pPr>
        <w:pStyle w:val="BodyText"/>
        <w:spacing w:before="11"/>
        <w:rPr>
          <w:sz w:val="20"/>
        </w:rPr>
      </w:pPr>
    </w:p>
    <w:p>
      <w:pPr>
        <w:pStyle w:val="BodyText"/>
        <w:spacing w:line="360" w:lineRule="auto"/>
        <w:ind w:left="1702" w:right="1695"/>
        <w:jc w:val="both"/>
      </w:pPr>
      <w:r>
        <w:rPr/>
        <w:t>A referida barragem foi construída em solo compactado, tendo em seu núcleo um filtro de areia com finalidade drenante. Também foram previstos instrumentos para o monitoramento, porém, com o passar do tempo, vários instrumentos perderam sua confiabilidade metrológica, principalmente os piezômetros (pneumáticos), motivo pelo qual foi implantado um novo sistema de monitoramento de poropressão, utilizando-se de piezômetros elétricos de corda</w:t>
      </w:r>
      <w:r>
        <w:rPr>
          <w:spacing w:val="-3"/>
        </w:rPr>
        <w:t> </w:t>
      </w:r>
      <w:r>
        <w:rPr/>
        <w:t>vibrante</w:t>
      </w:r>
      <w:r>
        <w:rPr>
          <w:vertAlign w:val="superscript"/>
        </w:rPr>
        <w:t>6</w:t>
      </w:r>
      <w:r>
        <w:rPr>
          <w:vertAlign w:val="baseline"/>
        </w:rPr>
        <w:t>.</w:t>
      </w:r>
    </w:p>
    <w:p>
      <w:pPr>
        <w:pStyle w:val="BodyText"/>
        <w:rPr>
          <w:sz w:val="18"/>
        </w:rPr>
      </w:pPr>
      <w:r>
        <w:rPr/>
        <w:drawing>
          <wp:anchor distT="0" distB="0" distL="0" distR="0" allowOverlap="1" layoutInCell="1" locked="0" behindDoc="0" simplePos="0" relativeHeight="224">
            <wp:simplePos x="0" y="0"/>
            <wp:positionH relativeFrom="page">
              <wp:posOffset>1099185</wp:posOffset>
            </wp:positionH>
            <wp:positionV relativeFrom="paragraph">
              <wp:posOffset>156272</wp:posOffset>
            </wp:positionV>
            <wp:extent cx="5385609" cy="2447544"/>
            <wp:effectExtent l="0" t="0" r="0" b="0"/>
            <wp:wrapTopAndBottom/>
            <wp:docPr id="67" name="image15.jpeg" descr=""/>
            <wp:cNvGraphicFramePr>
              <a:graphicFrameLocks noChangeAspect="1"/>
            </wp:cNvGraphicFramePr>
            <a:graphic>
              <a:graphicData uri="http://schemas.openxmlformats.org/drawingml/2006/picture">
                <pic:pic>
                  <pic:nvPicPr>
                    <pic:cNvPr id="68" name="image15.jpeg"/>
                    <pic:cNvPicPr/>
                  </pic:nvPicPr>
                  <pic:blipFill>
                    <a:blip r:embed="rId22" cstate="print"/>
                    <a:stretch>
                      <a:fillRect/>
                    </a:stretch>
                  </pic:blipFill>
                  <pic:spPr>
                    <a:xfrm>
                      <a:off x="0" y="0"/>
                      <a:ext cx="5385609" cy="2447544"/>
                    </a:xfrm>
                    <a:prstGeom prst="rect">
                      <a:avLst/>
                    </a:prstGeom>
                  </pic:spPr>
                </pic:pic>
              </a:graphicData>
            </a:graphic>
          </wp:anchor>
        </w:drawing>
      </w:r>
    </w:p>
    <w:p>
      <w:pPr>
        <w:pStyle w:val="BodyText"/>
        <w:rPr>
          <w:sz w:val="20"/>
        </w:rPr>
      </w:pPr>
    </w:p>
    <w:p>
      <w:pPr>
        <w:pStyle w:val="BodyText"/>
        <w:rPr>
          <w:sz w:val="20"/>
        </w:rPr>
      </w:pPr>
    </w:p>
    <w:p>
      <w:pPr>
        <w:pStyle w:val="BodyText"/>
        <w:rPr>
          <w:sz w:val="20"/>
        </w:rPr>
      </w:pPr>
    </w:p>
    <w:p>
      <w:pPr>
        <w:pStyle w:val="BodyText"/>
        <w:spacing w:before="10"/>
        <w:rPr>
          <w:sz w:val="28"/>
        </w:rPr>
      </w:pPr>
      <w:r>
        <w:rPr/>
        <w:pict>
          <v:line style="position:absolute;mso-position-horizontal-relative:page;mso-position-vertical-relative:paragraph;z-index:248;mso-wrap-distance-left:0;mso-wrap-distance-right:0" from="85.103996pt,18.952915pt" to="229.123996pt,18.952915pt" stroked="true" strokeweight=".72003pt" strokecolor="#000000">
            <v:stroke dashstyle="solid"/>
            <w10:wrap type="topAndBottom"/>
          </v:line>
        </w:pict>
      </w:r>
    </w:p>
    <w:p>
      <w:pPr>
        <w:spacing w:line="254" w:lineRule="auto" w:before="41"/>
        <w:ind w:left="1702" w:right="1701" w:firstLine="0"/>
        <w:jc w:val="both"/>
        <w:rPr>
          <w:rFonts w:ascii="Arial"/>
          <w:sz w:val="20"/>
        </w:rPr>
      </w:pPr>
      <w:r>
        <w:rPr>
          <w:rFonts w:ascii="Arial"/>
          <w:w w:val="95"/>
          <w:position w:val="10"/>
          <w:sz w:val="13"/>
        </w:rPr>
        <w:t>6 </w:t>
      </w:r>
      <w:r>
        <w:rPr>
          <w:rFonts w:ascii="Arial"/>
          <w:w w:val="95"/>
          <w:sz w:val="20"/>
        </w:rPr>
        <w:t>Acesso: https:</w:t>
      </w:r>
      <w:hyperlink r:id="rId23">
        <w:r>
          <w:rPr>
            <w:rFonts w:ascii="Arial"/>
            <w:w w:val="95"/>
            <w:sz w:val="20"/>
          </w:rPr>
          <w:t>//w</w:t>
        </w:r>
      </w:hyperlink>
      <w:r>
        <w:rPr>
          <w:rFonts w:ascii="Arial"/>
          <w:w w:val="95"/>
          <w:sz w:val="20"/>
        </w:rPr>
        <w:t>ww</w:t>
      </w:r>
      <w:hyperlink r:id="rId23">
        <w:r>
          <w:rPr>
            <w:rFonts w:ascii="Arial"/>
            <w:w w:val="95"/>
            <w:sz w:val="20"/>
          </w:rPr>
          <w:t>.linkedin.com/pulse/monitoramento-automatizado-de-barragens-dalmo-barbosa</w:t>
        </w:r>
      </w:hyperlink>
      <w:r>
        <w:rPr>
          <w:rFonts w:ascii="Arial"/>
          <w:w w:val="95"/>
          <w:sz w:val="20"/>
        </w:rPr>
        <w:t> </w:t>
      </w:r>
      <w:r>
        <w:rPr>
          <w:rFonts w:ascii="Arial"/>
          <w:sz w:val="20"/>
        </w:rPr>
        <w:t>(Publicado em 12/02/17) Acessado em junho de 2018.</w:t>
      </w:r>
    </w:p>
    <w:p>
      <w:pPr>
        <w:pStyle w:val="BodyText"/>
        <w:spacing w:before="2"/>
        <w:rPr>
          <w:rFonts w:ascii="Arial"/>
          <w:sz w:val="25"/>
        </w:rPr>
      </w:pPr>
      <w:r>
        <w:rPr/>
        <w:pict>
          <v:shape style="position:absolute;margin-left:475.660004pt;margin-top:15.721045pt;width:40.450pt;height:55.95pt;mso-position-horizontal-relative:page;mso-position-vertical-relative:paragraph;z-index:272;mso-wrap-distance-left:0;mso-wrap-distance-right:0" type="#_x0000_t202" filled="true" fillcolor="#6fac46" stroked="false">
            <v:textbox inset="0,0,0,0">
              <w:txbxContent>
                <w:p>
                  <w:pPr>
                    <w:pStyle w:val="BodyText"/>
                    <w:spacing w:before="10"/>
                    <w:rPr>
                      <w:rFonts w:ascii="Arial"/>
                      <w:sz w:val="29"/>
                    </w:rPr>
                  </w:pPr>
                </w:p>
                <w:p>
                  <w:pPr>
                    <w:spacing w:before="0"/>
                    <w:ind w:left="220" w:right="0" w:firstLine="0"/>
                    <w:jc w:val="left"/>
                    <w:rPr>
                      <w:rFonts w:ascii="Arial"/>
                      <w:sz w:val="36"/>
                    </w:rPr>
                  </w:pPr>
                  <w:r>
                    <w:rPr>
                      <w:rFonts w:ascii="Arial"/>
                      <w:color w:val="FFFFFF"/>
                      <w:sz w:val="36"/>
                    </w:rPr>
                    <w:t>15</w:t>
                  </w:r>
                </w:p>
              </w:txbxContent>
            </v:textbox>
            <v:fill type="solid"/>
            <w10:wrap type="topAndBottom"/>
          </v:shape>
        </w:pict>
      </w:r>
    </w:p>
    <w:p>
      <w:pPr>
        <w:spacing w:after="0"/>
        <w:rPr>
          <w:rFonts w:ascii="Arial"/>
          <w:sz w:val="25"/>
        </w:rPr>
        <w:sectPr>
          <w:type w:val="continuous"/>
          <w:pgSz w:w="11910" w:h="16840"/>
          <w:pgMar w:top="0" w:bottom="280" w:left="0" w:right="0"/>
        </w:sectPr>
      </w:pPr>
    </w:p>
    <w:p>
      <w:pPr>
        <w:pStyle w:val="BodyText"/>
        <w:rPr>
          <w:rFonts w:ascii="Arial"/>
          <w:sz w:val="20"/>
        </w:rPr>
      </w:pPr>
    </w:p>
    <w:p>
      <w:pPr>
        <w:pStyle w:val="BodyText"/>
        <w:rPr>
          <w:rFonts w:ascii="Arial"/>
          <w:sz w:val="20"/>
        </w:rPr>
      </w:pPr>
    </w:p>
    <w:p>
      <w:pPr>
        <w:pStyle w:val="BodyText"/>
        <w:spacing w:before="1"/>
        <w:rPr>
          <w:rFonts w:ascii="Arial"/>
          <w:sz w:val="18"/>
        </w:rPr>
      </w:pPr>
    </w:p>
    <w:p>
      <w:pPr>
        <w:spacing w:after="0"/>
        <w:rPr>
          <w:rFonts w:ascii="Arial"/>
          <w:sz w:val="18"/>
        </w:rPr>
        <w:sectPr>
          <w:pgSz w:w="11910" w:h="16840"/>
          <w:pgMar w:top="0" w:bottom="0" w:left="0" w:right="0"/>
        </w:sectPr>
      </w:pPr>
    </w:p>
    <w:p>
      <w:pPr>
        <w:pStyle w:val="Heading1"/>
        <w:spacing w:line="172" w:lineRule="auto"/>
      </w:pPr>
      <w:r>
        <w:rPr/>
        <w:drawing>
          <wp:anchor distT="0" distB="0" distL="0" distR="0" allowOverlap="1" layoutInCell="1" locked="0" behindDoc="0" simplePos="0" relativeHeight="2416">
            <wp:simplePos x="0" y="0"/>
            <wp:positionH relativeFrom="page">
              <wp:posOffset>979932</wp:posOffset>
            </wp:positionH>
            <wp:positionV relativeFrom="paragraph">
              <wp:posOffset>-9589</wp:posOffset>
            </wp:positionV>
            <wp:extent cx="1478280" cy="612648"/>
            <wp:effectExtent l="0" t="0" r="0" b="0"/>
            <wp:wrapNone/>
            <wp:docPr id="69" name="image8.png" descr=""/>
            <wp:cNvGraphicFramePr>
              <a:graphicFrameLocks noChangeAspect="1"/>
            </wp:cNvGraphicFramePr>
            <a:graphic>
              <a:graphicData uri="http://schemas.openxmlformats.org/drawingml/2006/picture">
                <pic:pic>
                  <pic:nvPicPr>
                    <pic:cNvPr id="70" name="image8.png"/>
                    <pic:cNvPicPr/>
                  </pic:nvPicPr>
                  <pic:blipFill>
                    <a:blip r:embed="rId12" cstate="print"/>
                    <a:stretch>
                      <a:fillRect/>
                    </a:stretch>
                  </pic:blipFill>
                  <pic:spPr>
                    <a:xfrm>
                      <a:off x="0" y="0"/>
                      <a:ext cx="1478280" cy="612648"/>
                    </a:xfrm>
                    <a:prstGeom prst="rect">
                      <a:avLst/>
                    </a:prstGeom>
                  </pic:spPr>
                </pic:pic>
              </a:graphicData>
            </a:graphic>
          </wp:anchor>
        </w:drawing>
      </w:r>
      <w:r>
        <w:rPr>
          <w:color w:val="385522"/>
        </w:rPr>
        <w:t>meio </w:t>
      </w:r>
      <w:r>
        <w:rPr>
          <w:color w:val="385522"/>
          <w:w w:val="95"/>
        </w:rPr>
        <w:t>ambiente</w:t>
      </w:r>
    </w:p>
    <w:p>
      <w:pPr>
        <w:spacing w:before="60"/>
        <w:ind w:left="455" w:right="0" w:firstLine="0"/>
        <w:jc w:val="left"/>
        <w:rPr>
          <w:rFonts w:ascii="Arial" w:hAnsi="Arial"/>
          <w:sz w:val="22"/>
        </w:rPr>
      </w:pPr>
      <w:r>
        <w:rPr/>
        <w:br w:type="column"/>
      </w:r>
      <w:r>
        <w:rPr>
          <w:rFonts w:ascii="Arial" w:hAnsi="Arial"/>
          <w:color w:val="385522"/>
          <w:sz w:val="22"/>
        </w:rPr>
        <w:t>Plano Municipal de Segurança de Barragens-PMSB</w:t>
      </w:r>
    </w:p>
    <w:p>
      <w:pPr>
        <w:spacing w:after="0"/>
        <w:jc w:val="left"/>
        <w:rPr>
          <w:rFonts w:ascii="Arial" w:hAnsi="Arial"/>
          <w:sz w:val="22"/>
        </w:rPr>
        <w:sectPr>
          <w:type w:val="continuous"/>
          <w:pgSz w:w="11910" w:h="16840"/>
          <w:pgMar w:top="0" w:bottom="280" w:left="0" w:right="0"/>
          <w:cols w:num="2" w:equalWidth="0">
            <w:col w:w="5155" w:space="77"/>
            <w:col w:w="6678"/>
          </w:cols>
        </w:sectPr>
      </w:pPr>
    </w:p>
    <w:p>
      <w:pPr>
        <w:pStyle w:val="BodyText"/>
        <w:rPr>
          <w:rFonts w:ascii="Arial"/>
          <w:sz w:val="20"/>
        </w:rPr>
      </w:pPr>
      <w:r>
        <w:rPr/>
        <w:drawing>
          <wp:anchor distT="0" distB="0" distL="0" distR="0" allowOverlap="1" layoutInCell="1" locked="0" behindDoc="0" simplePos="0" relativeHeight="2440">
            <wp:simplePos x="0" y="0"/>
            <wp:positionH relativeFrom="page">
              <wp:posOffset>288925</wp:posOffset>
            </wp:positionH>
            <wp:positionV relativeFrom="page">
              <wp:posOffset>634</wp:posOffset>
            </wp:positionV>
            <wp:extent cx="474344" cy="10691748"/>
            <wp:effectExtent l="0" t="0" r="0" b="0"/>
            <wp:wrapNone/>
            <wp:docPr id="71" name="image9.png" descr=""/>
            <wp:cNvGraphicFramePr>
              <a:graphicFrameLocks noChangeAspect="1"/>
            </wp:cNvGraphicFramePr>
            <a:graphic>
              <a:graphicData uri="http://schemas.openxmlformats.org/drawingml/2006/picture">
                <pic:pic>
                  <pic:nvPicPr>
                    <pic:cNvPr id="72" name="image9.png"/>
                    <pic:cNvPicPr/>
                  </pic:nvPicPr>
                  <pic:blipFill>
                    <a:blip r:embed="rId13" cstate="print"/>
                    <a:stretch>
                      <a:fillRect/>
                    </a:stretch>
                  </pic:blipFill>
                  <pic:spPr>
                    <a:xfrm>
                      <a:off x="0" y="0"/>
                      <a:ext cx="474344" cy="10691748"/>
                    </a:xfrm>
                    <a:prstGeom prst="rect">
                      <a:avLst/>
                    </a:prstGeom>
                  </pic:spPr>
                </pic:pic>
              </a:graphicData>
            </a:graphic>
          </wp:anchor>
        </w:drawing>
      </w:r>
    </w:p>
    <w:p>
      <w:pPr>
        <w:pStyle w:val="BodyText"/>
        <w:rPr>
          <w:rFonts w:ascii="Arial"/>
          <w:sz w:val="20"/>
        </w:rPr>
      </w:pPr>
    </w:p>
    <w:p>
      <w:pPr>
        <w:pStyle w:val="BodyText"/>
        <w:spacing w:before="2"/>
        <w:rPr>
          <w:rFonts w:ascii="Arial"/>
          <w:sz w:val="23"/>
        </w:rPr>
      </w:pPr>
    </w:p>
    <w:p>
      <w:pPr>
        <w:pStyle w:val="Heading3"/>
        <w:numPr>
          <w:ilvl w:val="0"/>
          <w:numId w:val="2"/>
        </w:numPr>
        <w:tabs>
          <w:tab w:pos="2346" w:val="left" w:leader="none"/>
        </w:tabs>
        <w:spacing w:line="240" w:lineRule="auto" w:before="0" w:after="0"/>
        <w:ind w:left="2345" w:right="0" w:hanging="360"/>
        <w:jc w:val="left"/>
      </w:pPr>
      <w:bookmarkStart w:name="_bookmark5" w:id="11"/>
      <w:bookmarkEnd w:id="11"/>
      <w:r>
        <w:rPr>
          <w:b w:val="0"/>
        </w:rPr>
      </w:r>
      <w:bookmarkStart w:name="_bookmark5" w:id="12"/>
      <w:bookmarkEnd w:id="12"/>
      <w:r>
        <w:rPr/>
        <w:t>B</w:t>
      </w:r>
      <w:r>
        <w:rPr/>
        <w:t>ARRAGENS QUE PODEM ATINGIR</w:t>
      </w:r>
      <w:r>
        <w:rPr>
          <w:spacing w:val="2"/>
        </w:rPr>
        <w:t> </w:t>
      </w:r>
      <w:r>
        <w:rPr/>
        <w:t>CONGONHAS.</w:t>
      </w:r>
    </w:p>
    <w:p>
      <w:pPr>
        <w:pStyle w:val="BodyText"/>
        <w:rPr>
          <w:b/>
          <w:sz w:val="26"/>
        </w:rPr>
      </w:pPr>
    </w:p>
    <w:p>
      <w:pPr>
        <w:spacing w:line="360" w:lineRule="auto" w:before="193"/>
        <w:ind w:left="1702" w:right="1695" w:firstLine="0"/>
        <w:jc w:val="both"/>
        <w:rPr>
          <w:sz w:val="24"/>
        </w:rPr>
      </w:pPr>
      <w:r>
        <w:rPr>
          <w:sz w:val="24"/>
        </w:rPr>
        <w:t>Das barragens identificadas, </w:t>
      </w:r>
      <w:r>
        <w:rPr>
          <w:b/>
          <w:i/>
          <w:sz w:val="24"/>
        </w:rPr>
        <w:t>23 estruturas de barragens de rejeito </w:t>
      </w:r>
      <w:r>
        <w:rPr>
          <w:sz w:val="24"/>
        </w:rPr>
        <w:t>e </w:t>
      </w:r>
      <w:r>
        <w:rPr>
          <w:b/>
          <w:i/>
          <w:sz w:val="24"/>
        </w:rPr>
        <w:t>1 de acumulação </w:t>
      </w:r>
      <w:r>
        <w:rPr>
          <w:b/>
          <w:i/>
          <w:sz w:val="24"/>
        </w:rPr>
        <w:t>de água</w:t>
      </w:r>
      <w:r>
        <w:rPr>
          <w:i/>
          <w:sz w:val="24"/>
        </w:rPr>
        <w:t>, </w:t>
      </w:r>
      <w:r>
        <w:rPr>
          <w:sz w:val="24"/>
        </w:rPr>
        <w:t>todas merecem atenção especial, sobretudo as que apresentaram maior dano potencial, conforme classificação da Portaria DNMP nº 70.389:</w:t>
      </w:r>
    </w:p>
    <w:p>
      <w:pPr>
        <w:pStyle w:val="BodyText"/>
        <w:spacing w:before="5"/>
        <w:rPr>
          <w:sz w:val="21"/>
        </w:rPr>
      </w:pPr>
    </w:p>
    <w:tbl>
      <w:tblPr>
        <w:tblW w:w="0" w:type="auto"/>
        <w:jc w:val="left"/>
        <w:tblInd w:w="1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4"/>
        <w:gridCol w:w="2706"/>
        <w:gridCol w:w="1985"/>
        <w:gridCol w:w="1846"/>
      </w:tblGrid>
      <w:tr>
        <w:trPr>
          <w:trHeight w:val="527" w:hRule="atLeast"/>
        </w:trPr>
        <w:tc>
          <w:tcPr>
            <w:tcW w:w="8721" w:type="dxa"/>
            <w:gridSpan w:val="4"/>
            <w:shd w:val="clear" w:color="auto" w:fill="C4D69B"/>
          </w:tcPr>
          <w:p>
            <w:pPr>
              <w:pStyle w:val="TableParagraph"/>
              <w:spacing w:line="276" w:lineRule="exact"/>
              <w:ind w:left="311" w:hanging="171"/>
              <w:rPr>
                <w:b/>
                <w:sz w:val="24"/>
              </w:rPr>
            </w:pPr>
            <w:r>
              <w:rPr>
                <w:b/>
                <w:color w:val="16365C"/>
                <w:sz w:val="24"/>
              </w:rPr>
              <w:t>TABELA - RISCO E DANO POTENCIAL DAS BARRAGENS DAS EMPRESAS MINERADORAS E SIDERÚRGICAS - MUNICÍPIO DE CONGONHAS/2019</w:t>
            </w:r>
          </w:p>
        </w:tc>
      </w:tr>
      <w:tr>
        <w:trPr>
          <w:trHeight w:val="890" w:hRule="atLeast"/>
        </w:trPr>
        <w:tc>
          <w:tcPr>
            <w:tcW w:w="2184" w:type="dxa"/>
            <w:shd w:val="clear" w:color="auto" w:fill="EBF0DE"/>
          </w:tcPr>
          <w:p>
            <w:pPr>
              <w:pStyle w:val="TableParagraph"/>
              <w:spacing w:before="3"/>
              <w:rPr>
                <w:sz w:val="25"/>
              </w:rPr>
            </w:pPr>
          </w:p>
          <w:p>
            <w:pPr>
              <w:pStyle w:val="TableParagraph"/>
              <w:spacing w:before="1"/>
              <w:ind w:left="501"/>
              <w:rPr>
                <w:b/>
                <w:sz w:val="24"/>
              </w:rPr>
            </w:pPr>
            <w:r>
              <w:rPr>
                <w:b/>
                <w:sz w:val="24"/>
              </w:rPr>
              <w:t>EMPRESA</w:t>
            </w:r>
          </w:p>
        </w:tc>
        <w:tc>
          <w:tcPr>
            <w:tcW w:w="2706" w:type="dxa"/>
            <w:shd w:val="clear" w:color="auto" w:fill="D9D9D9"/>
          </w:tcPr>
          <w:p>
            <w:pPr>
              <w:pStyle w:val="TableParagraph"/>
              <w:spacing w:before="152"/>
              <w:ind w:left="636" w:right="379" w:hanging="233"/>
              <w:rPr>
                <w:b/>
                <w:sz w:val="24"/>
              </w:rPr>
            </w:pPr>
            <w:r>
              <w:rPr>
                <w:b/>
                <w:sz w:val="24"/>
              </w:rPr>
              <w:t>DENOMINAÇÃO BARRAGEM</w:t>
            </w:r>
          </w:p>
        </w:tc>
        <w:tc>
          <w:tcPr>
            <w:tcW w:w="1985" w:type="dxa"/>
            <w:shd w:val="clear" w:color="auto" w:fill="FFFF00"/>
          </w:tcPr>
          <w:p>
            <w:pPr>
              <w:pStyle w:val="TableParagraph"/>
              <w:spacing w:before="152"/>
              <w:ind w:left="412" w:right="223" w:hanging="161"/>
              <w:rPr>
                <w:b/>
                <w:sz w:val="24"/>
              </w:rPr>
            </w:pPr>
            <w:r>
              <w:rPr>
                <w:b/>
                <w:sz w:val="24"/>
              </w:rPr>
              <w:t>CATEGORIA DE RISCO</w:t>
            </w:r>
          </w:p>
        </w:tc>
        <w:tc>
          <w:tcPr>
            <w:tcW w:w="1846" w:type="dxa"/>
            <w:shd w:val="clear" w:color="auto" w:fill="FFFF00"/>
          </w:tcPr>
          <w:p>
            <w:pPr>
              <w:pStyle w:val="TableParagraph"/>
              <w:spacing w:before="15"/>
              <w:ind w:left="208" w:right="181" w:firstLine="360"/>
              <w:rPr>
                <w:b/>
                <w:sz w:val="24"/>
              </w:rPr>
            </w:pPr>
            <w:r>
              <w:rPr>
                <w:b/>
                <w:sz w:val="24"/>
              </w:rPr>
              <w:t>DANO POTENCIAL ASSOCIADO</w:t>
            </w:r>
          </w:p>
        </w:tc>
      </w:tr>
      <w:tr>
        <w:trPr>
          <w:trHeight w:val="299" w:hRule="atLeast"/>
        </w:trPr>
        <w:tc>
          <w:tcPr>
            <w:tcW w:w="2184" w:type="dxa"/>
            <w:vMerge w:val="restart"/>
          </w:tcPr>
          <w:p>
            <w:pPr>
              <w:pStyle w:val="TableParagraph"/>
              <w:rPr>
                <w:sz w:val="26"/>
              </w:rPr>
            </w:pPr>
          </w:p>
          <w:p>
            <w:pPr>
              <w:pStyle w:val="TableParagraph"/>
              <w:rPr>
                <w:sz w:val="26"/>
              </w:rPr>
            </w:pPr>
          </w:p>
          <w:p>
            <w:pPr>
              <w:pStyle w:val="TableParagraph"/>
              <w:rPr>
                <w:sz w:val="26"/>
              </w:rPr>
            </w:pPr>
          </w:p>
          <w:p>
            <w:pPr>
              <w:pStyle w:val="TableParagraph"/>
              <w:rPr>
                <w:sz w:val="26"/>
              </w:rPr>
            </w:pPr>
          </w:p>
          <w:p>
            <w:pPr>
              <w:pStyle w:val="TableParagraph"/>
              <w:rPr>
                <w:sz w:val="26"/>
              </w:rPr>
            </w:pPr>
          </w:p>
          <w:p>
            <w:pPr>
              <w:pStyle w:val="TableParagraph"/>
              <w:rPr>
                <w:sz w:val="26"/>
              </w:rPr>
            </w:pPr>
          </w:p>
          <w:p>
            <w:pPr>
              <w:pStyle w:val="TableParagraph"/>
              <w:spacing w:before="192"/>
              <w:ind w:left="107" w:right="105" w:firstLine="4"/>
              <w:jc w:val="center"/>
              <w:rPr>
                <w:b/>
                <w:sz w:val="24"/>
              </w:rPr>
            </w:pPr>
            <w:r>
              <w:rPr>
                <w:b/>
                <w:sz w:val="24"/>
              </w:rPr>
              <w:t>CSN     MINERAÇÃO S.A</w:t>
            </w:r>
          </w:p>
          <w:p>
            <w:pPr>
              <w:pStyle w:val="TableParagraph"/>
              <w:ind w:left="202" w:right="199"/>
              <w:jc w:val="center"/>
              <w:rPr>
                <w:b/>
                <w:sz w:val="24"/>
              </w:rPr>
            </w:pPr>
            <w:r>
              <w:rPr>
                <w:b/>
                <w:sz w:val="24"/>
              </w:rPr>
              <w:t>(13 estruturas)</w:t>
            </w:r>
          </w:p>
        </w:tc>
        <w:tc>
          <w:tcPr>
            <w:tcW w:w="2706" w:type="dxa"/>
          </w:tcPr>
          <w:p>
            <w:pPr>
              <w:pStyle w:val="TableParagraph"/>
              <w:spacing w:before="3"/>
              <w:ind w:left="345"/>
              <w:rPr>
                <w:sz w:val="24"/>
              </w:rPr>
            </w:pPr>
            <w:r>
              <w:rPr>
                <w:sz w:val="24"/>
              </w:rPr>
              <w:t>Dique do Esmeril IV</w:t>
            </w:r>
          </w:p>
        </w:tc>
        <w:tc>
          <w:tcPr>
            <w:tcW w:w="1985" w:type="dxa"/>
          </w:tcPr>
          <w:p>
            <w:pPr>
              <w:pStyle w:val="TableParagraph"/>
              <w:spacing w:before="3"/>
              <w:ind w:left="702"/>
              <w:rPr>
                <w:sz w:val="24"/>
              </w:rPr>
            </w:pPr>
            <w:r>
              <w:rPr>
                <w:sz w:val="24"/>
              </w:rPr>
              <w:t>Baixo</w:t>
            </w:r>
          </w:p>
        </w:tc>
        <w:tc>
          <w:tcPr>
            <w:tcW w:w="1846" w:type="dxa"/>
            <w:shd w:val="clear" w:color="auto" w:fill="FF0000"/>
          </w:tcPr>
          <w:p>
            <w:pPr>
              <w:pStyle w:val="TableParagraph"/>
              <w:spacing w:before="3"/>
              <w:ind w:left="586" w:right="580"/>
              <w:jc w:val="center"/>
              <w:rPr>
                <w:sz w:val="24"/>
              </w:rPr>
            </w:pPr>
            <w:r>
              <w:rPr>
                <w:sz w:val="24"/>
              </w:rPr>
              <w:t>Alto</w:t>
            </w:r>
          </w:p>
        </w:tc>
      </w:tr>
      <w:tr>
        <w:trPr>
          <w:trHeight w:val="299" w:hRule="atLeast"/>
        </w:trPr>
        <w:tc>
          <w:tcPr>
            <w:tcW w:w="2184" w:type="dxa"/>
            <w:vMerge/>
            <w:tcBorders>
              <w:top w:val="nil"/>
            </w:tcBorders>
          </w:tcPr>
          <w:p>
            <w:pPr>
              <w:rPr>
                <w:sz w:val="2"/>
                <w:szCs w:val="2"/>
              </w:rPr>
            </w:pPr>
          </w:p>
        </w:tc>
        <w:tc>
          <w:tcPr>
            <w:tcW w:w="2706" w:type="dxa"/>
          </w:tcPr>
          <w:p>
            <w:pPr>
              <w:pStyle w:val="TableParagraph"/>
              <w:spacing w:before="3"/>
              <w:ind w:left="449"/>
              <w:rPr>
                <w:sz w:val="24"/>
              </w:rPr>
            </w:pPr>
            <w:r>
              <w:rPr>
                <w:sz w:val="24"/>
              </w:rPr>
              <w:t>Dique do Engenho</w:t>
            </w:r>
          </w:p>
        </w:tc>
        <w:tc>
          <w:tcPr>
            <w:tcW w:w="1985" w:type="dxa"/>
          </w:tcPr>
          <w:p>
            <w:pPr>
              <w:pStyle w:val="TableParagraph"/>
              <w:spacing w:before="3"/>
              <w:ind w:left="702"/>
              <w:rPr>
                <w:sz w:val="24"/>
              </w:rPr>
            </w:pPr>
            <w:r>
              <w:rPr>
                <w:sz w:val="24"/>
              </w:rPr>
              <w:t>Baixo</w:t>
            </w:r>
          </w:p>
        </w:tc>
        <w:tc>
          <w:tcPr>
            <w:tcW w:w="1846" w:type="dxa"/>
          </w:tcPr>
          <w:p>
            <w:pPr>
              <w:pStyle w:val="TableParagraph"/>
              <w:spacing w:before="3"/>
              <w:ind w:left="589" w:right="580"/>
              <w:jc w:val="center"/>
              <w:rPr>
                <w:sz w:val="24"/>
              </w:rPr>
            </w:pPr>
            <w:r>
              <w:rPr>
                <w:sz w:val="24"/>
              </w:rPr>
              <w:t>Médio</w:t>
            </w:r>
          </w:p>
        </w:tc>
      </w:tr>
      <w:tr>
        <w:trPr>
          <w:trHeight w:val="299" w:hRule="atLeast"/>
        </w:trPr>
        <w:tc>
          <w:tcPr>
            <w:tcW w:w="2184" w:type="dxa"/>
            <w:vMerge/>
            <w:tcBorders>
              <w:top w:val="nil"/>
            </w:tcBorders>
          </w:tcPr>
          <w:p>
            <w:pPr>
              <w:rPr>
                <w:sz w:val="2"/>
                <w:szCs w:val="2"/>
              </w:rPr>
            </w:pPr>
          </w:p>
        </w:tc>
        <w:tc>
          <w:tcPr>
            <w:tcW w:w="2706" w:type="dxa"/>
          </w:tcPr>
          <w:p>
            <w:pPr>
              <w:pStyle w:val="TableParagraph"/>
              <w:spacing w:before="3"/>
              <w:ind w:right="205"/>
              <w:jc w:val="right"/>
              <w:rPr>
                <w:sz w:val="24"/>
              </w:rPr>
            </w:pPr>
            <w:r>
              <w:rPr>
                <w:sz w:val="24"/>
              </w:rPr>
              <w:t>Dique do Bichento IIIA</w:t>
            </w:r>
          </w:p>
        </w:tc>
        <w:tc>
          <w:tcPr>
            <w:tcW w:w="1985" w:type="dxa"/>
          </w:tcPr>
          <w:p>
            <w:pPr>
              <w:pStyle w:val="TableParagraph"/>
              <w:spacing w:before="3"/>
              <w:ind w:left="702"/>
              <w:rPr>
                <w:sz w:val="24"/>
              </w:rPr>
            </w:pPr>
            <w:r>
              <w:rPr>
                <w:sz w:val="24"/>
              </w:rPr>
              <w:t>Baixo</w:t>
            </w:r>
          </w:p>
        </w:tc>
        <w:tc>
          <w:tcPr>
            <w:tcW w:w="1846" w:type="dxa"/>
          </w:tcPr>
          <w:p>
            <w:pPr>
              <w:pStyle w:val="TableParagraph"/>
              <w:spacing w:before="3"/>
              <w:ind w:left="589" w:right="580"/>
              <w:jc w:val="center"/>
              <w:rPr>
                <w:sz w:val="24"/>
              </w:rPr>
            </w:pPr>
            <w:r>
              <w:rPr>
                <w:sz w:val="24"/>
              </w:rPr>
              <w:t>Médio</w:t>
            </w:r>
          </w:p>
        </w:tc>
      </w:tr>
      <w:tr>
        <w:trPr>
          <w:trHeight w:val="551" w:hRule="atLeast"/>
        </w:trPr>
        <w:tc>
          <w:tcPr>
            <w:tcW w:w="2184" w:type="dxa"/>
            <w:vMerge/>
            <w:tcBorders>
              <w:top w:val="nil"/>
            </w:tcBorders>
          </w:tcPr>
          <w:p>
            <w:pPr>
              <w:rPr>
                <w:sz w:val="2"/>
                <w:szCs w:val="2"/>
              </w:rPr>
            </w:pPr>
          </w:p>
        </w:tc>
        <w:tc>
          <w:tcPr>
            <w:tcW w:w="2706" w:type="dxa"/>
          </w:tcPr>
          <w:p>
            <w:pPr>
              <w:pStyle w:val="TableParagraph"/>
              <w:spacing w:line="268" w:lineRule="exact"/>
              <w:ind w:left="274" w:right="269"/>
              <w:jc w:val="center"/>
              <w:rPr>
                <w:sz w:val="24"/>
              </w:rPr>
            </w:pPr>
            <w:r>
              <w:rPr>
                <w:sz w:val="24"/>
              </w:rPr>
              <w:t>Dique do Batateiro de</w:t>
            </w:r>
          </w:p>
          <w:p>
            <w:pPr>
              <w:pStyle w:val="TableParagraph"/>
              <w:spacing w:line="264" w:lineRule="exact"/>
              <w:ind w:left="273" w:right="269"/>
              <w:jc w:val="center"/>
              <w:rPr>
                <w:sz w:val="24"/>
              </w:rPr>
            </w:pPr>
            <w:r>
              <w:rPr>
                <w:sz w:val="24"/>
              </w:rPr>
              <w:t>Baixo</w:t>
            </w:r>
          </w:p>
        </w:tc>
        <w:tc>
          <w:tcPr>
            <w:tcW w:w="1985" w:type="dxa"/>
          </w:tcPr>
          <w:p>
            <w:pPr>
              <w:pStyle w:val="TableParagraph"/>
              <w:spacing w:before="131"/>
              <w:ind w:left="702"/>
              <w:rPr>
                <w:sz w:val="24"/>
              </w:rPr>
            </w:pPr>
            <w:r>
              <w:rPr>
                <w:sz w:val="24"/>
              </w:rPr>
              <w:t>Baixo</w:t>
            </w:r>
          </w:p>
        </w:tc>
        <w:tc>
          <w:tcPr>
            <w:tcW w:w="1846" w:type="dxa"/>
            <w:shd w:val="clear" w:color="auto" w:fill="FF0000"/>
          </w:tcPr>
          <w:p>
            <w:pPr>
              <w:pStyle w:val="TableParagraph"/>
              <w:spacing w:before="131"/>
              <w:ind w:left="586" w:right="580"/>
              <w:jc w:val="center"/>
              <w:rPr>
                <w:sz w:val="24"/>
              </w:rPr>
            </w:pPr>
            <w:r>
              <w:rPr>
                <w:sz w:val="24"/>
              </w:rPr>
              <w:t>Alto</w:t>
            </w:r>
          </w:p>
        </w:tc>
      </w:tr>
      <w:tr>
        <w:trPr>
          <w:trHeight w:val="299" w:hRule="atLeast"/>
        </w:trPr>
        <w:tc>
          <w:tcPr>
            <w:tcW w:w="2184" w:type="dxa"/>
            <w:vMerge/>
            <w:tcBorders>
              <w:top w:val="nil"/>
            </w:tcBorders>
          </w:tcPr>
          <w:p>
            <w:pPr>
              <w:rPr>
                <w:sz w:val="2"/>
                <w:szCs w:val="2"/>
              </w:rPr>
            </w:pPr>
          </w:p>
        </w:tc>
        <w:tc>
          <w:tcPr>
            <w:tcW w:w="2706" w:type="dxa"/>
          </w:tcPr>
          <w:p>
            <w:pPr>
              <w:pStyle w:val="TableParagraph"/>
              <w:spacing w:before="3"/>
              <w:ind w:right="134"/>
              <w:jc w:val="right"/>
              <w:rPr>
                <w:sz w:val="24"/>
              </w:rPr>
            </w:pPr>
            <w:r>
              <w:rPr>
                <w:sz w:val="24"/>
              </w:rPr>
              <w:t>Dique da Pilha do Vila II</w:t>
            </w:r>
          </w:p>
        </w:tc>
        <w:tc>
          <w:tcPr>
            <w:tcW w:w="1985" w:type="dxa"/>
          </w:tcPr>
          <w:p>
            <w:pPr>
              <w:pStyle w:val="TableParagraph"/>
              <w:spacing w:before="3"/>
              <w:ind w:left="702"/>
              <w:rPr>
                <w:sz w:val="24"/>
              </w:rPr>
            </w:pPr>
            <w:r>
              <w:rPr>
                <w:sz w:val="24"/>
              </w:rPr>
              <w:t>Baixo</w:t>
            </w:r>
          </w:p>
        </w:tc>
        <w:tc>
          <w:tcPr>
            <w:tcW w:w="1846" w:type="dxa"/>
          </w:tcPr>
          <w:p>
            <w:pPr>
              <w:pStyle w:val="TableParagraph"/>
              <w:spacing w:before="3"/>
              <w:ind w:left="589" w:right="580"/>
              <w:jc w:val="center"/>
              <w:rPr>
                <w:sz w:val="24"/>
              </w:rPr>
            </w:pPr>
            <w:r>
              <w:rPr>
                <w:sz w:val="24"/>
              </w:rPr>
              <w:t>Médio</w:t>
            </w:r>
          </w:p>
        </w:tc>
      </w:tr>
      <w:tr>
        <w:trPr>
          <w:trHeight w:val="553" w:hRule="atLeast"/>
        </w:trPr>
        <w:tc>
          <w:tcPr>
            <w:tcW w:w="2184" w:type="dxa"/>
            <w:vMerge/>
            <w:tcBorders>
              <w:top w:val="nil"/>
            </w:tcBorders>
          </w:tcPr>
          <w:p>
            <w:pPr>
              <w:rPr>
                <w:sz w:val="2"/>
                <w:szCs w:val="2"/>
              </w:rPr>
            </w:pPr>
          </w:p>
        </w:tc>
        <w:tc>
          <w:tcPr>
            <w:tcW w:w="2706" w:type="dxa"/>
          </w:tcPr>
          <w:p>
            <w:pPr>
              <w:pStyle w:val="TableParagraph"/>
              <w:spacing w:line="270" w:lineRule="exact"/>
              <w:ind w:left="273" w:right="269"/>
              <w:jc w:val="center"/>
              <w:rPr>
                <w:sz w:val="24"/>
              </w:rPr>
            </w:pPr>
            <w:r>
              <w:rPr>
                <w:sz w:val="24"/>
              </w:rPr>
              <w:t>Dique 11 - Dique do</w:t>
            </w:r>
          </w:p>
          <w:p>
            <w:pPr>
              <w:pStyle w:val="TableParagraph"/>
              <w:spacing w:line="264" w:lineRule="exact"/>
              <w:ind w:left="273" w:right="269"/>
              <w:jc w:val="center"/>
              <w:rPr>
                <w:sz w:val="24"/>
              </w:rPr>
            </w:pPr>
            <w:r>
              <w:rPr>
                <w:sz w:val="24"/>
              </w:rPr>
              <w:t>Sirênio</w:t>
            </w:r>
          </w:p>
        </w:tc>
        <w:tc>
          <w:tcPr>
            <w:tcW w:w="1985" w:type="dxa"/>
          </w:tcPr>
          <w:p>
            <w:pPr>
              <w:pStyle w:val="TableParagraph"/>
              <w:spacing w:before="131"/>
              <w:ind w:left="702"/>
              <w:rPr>
                <w:sz w:val="24"/>
              </w:rPr>
            </w:pPr>
            <w:r>
              <w:rPr>
                <w:sz w:val="24"/>
              </w:rPr>
              <w:t>Baixo</w:t>
            </w:r>
          </w:p>
        </w:tc>
        <w:tc>
          <w:tcPr>
            <w:tcW w:w="1846" w:type="dxa"/>
          </w:tcPr>
          <w:p>
            <w:pPr>
              <w:pStyle w:val="TableParagraph"/>
              <w:spacing w:before="131"/>
              <w:ind w:left="589" w:right="580"/>
              <w:jc w:val="center"/>
              <w:rPr>
                <w:sz w:val="24"/>
              </w:rPr>
            </w:pPr>
            <w:r>
              <w:rPr>
                <w:sz w:val="24"/>
              </w:rPr>
              <w:t>Baixo</w:t>
            </w:r>
          </w:p>
        </w:tc>
      </w:tr>
      <w:tr>
        <w:trPr>
          <w:trHeight w:val="299" w:hRule="atLeast"/>
        </w:trPr>
        <w:tc>
          <w:tcPr>
            <w:tcW w:w="2184" w:type="dxa"/>
            <w:vMerge/>
            <w:tcBorders>
              <w:top w:val="nil"/>
            </w:tcBorders>
          </w:tcPr>
          <w:p>
            <w:pPr>
              <w:rPr>
                <w:sz w:val="2"/>
                <w:szCs w:val="2"/>
              </w:rPr>
            </w:pPr>
          </w:p>
        </w:tc>
        <w:tc>
          <w:tcPr>
            <w:tcW w:w="2706" w:type="dxa"/>
          </w:tcPr>
          <w:p>
            <w:pPr>
              <w:pStyle w:val="TableParagraph"/>
              <w:spacing w:before="3"/>
              <w:ind w:left="429"/>
              <w:rPr>
                <w:sz w:val="24"/>
              </w:rPr>
            </w:pPr>
            <w:r>
              <w:rPr>
                <w:sz w:val="24"/>
              </w:rPr>
              <w:t>Barragem do Vigia</w:t>
            </w:r>
          </w:p>
        </w:tc>
        <w:tc>
          <w:tcPr>
            <w:tcW w:w="1985" w:type="dxa"/>
          </w:tcPr>
          <w:p>
            <w:pPr>
              <w:pStyle w:val="TableParagraph"/>
              <w:spacing w:before="3"/>
              <w:ind w:left="702"/>
              <w:rPr>
                <w:sz w:val="24"/>
              </w:rPr>
            </w:pPr>
            <w:r>
              <w:rPr>
                <w:sz w:val="24"/>
              </w:rPr>
              <w:t>Baixo</w:t>
            </w:r>
          </w:p>
        </w:tc>
        <w:tc>
          <w:tcPr>
            <w:tcW w:w="1846" w:type="dxa"/>
            <w:shd w:val="clear" w:color="auto" w:fill="FF0000"/>
          </w:tcPr>
          <w:p>
            <w:pPr>
              <w:pStyle w:val="TableParagraph"/>
              <w:spacing w:before="3"/>
              <w:ind w:left="586" w:right="580"/>
              <w:jc w:val="center"/>
              <w:rPr>
                <w:sz w:val="24"/>
              </w:rPr>
            </w:pPr>
            <w:r>
              <w:rPr>
                <w:sz w:val="24"/>
              </w:rPr>
              <w:t>Alto</w:t>
            </w:r>
          </w:p>
        </w:tc>
      </w:tr>
      <w:tr>
        <w:trPr>
          <w:trHeight w:val="299" w:hRule="atLeast"/>
        </w:trPr>
        <w:tc>
          <w:tcPr>
            <w:tcW w:w="2184" w:type="dxa"/>
            <w:vMerge/>
            <w:tcBorders>
              <w:top w:val="nil"/>
            </w:tcBorders>
          </w:tcPr>
          <w:p>
            <w:pPr>
              <w:rPr>
                <w:sz w:val="2"/>
                <w:szCs w:val="2"/>
              </w:rPr>
            </w:pPr>
          </w:p>
        </w:tc>
        <w:tc>
          <w:tcPr>
            <w:tcW w:w="2706" w:type="dxa"/>
          </w:tcPr>
          <w:p>
            <w:pPr>
              <w:pStyle w:val="TableParagraph"/>
              <w:spacing w:before="3"/>
              <w:ind w:left="269"/>
              <w:rPr>
                <w:sz w:val="24"/>
              </w:rPr>
            </w:pPr>
            <w:r>
              <w:rPr>
                <w:sz w:val="24"/>
              </w:rPr>
              <w:t>Barragem Poço Fundo</w:t>
            </w:r>
          </w:p>
        </w:tc>
        <w:tc>
          <w:tcPr>
            <w:tcW w:w="1985" w:type="dxa"/>
          </w:tcPr>
          <w:p>
            <w:pPr>
              <w:pStyle w:val="TableParagraph"/>
              <w:spacing w:before="3"/>
              <w:ind w:left="702"/>
              <w:rPr>
                <w:sz w:val="24"/>
              </w:rPr>
            </w:pPr>
            <w:r>
              <w:rPr>
                <w:sz w:val="24"/>
              </w:rPr>
              <w:t>Baixo</w:t>
            </w:r>
          </w:p>
        </w:tc>
        <w:tc>
          <w:tcPr>
            <w:tcW w:w="1846" w:type="dxa"/>
          </w:tcPr>
          <w:p>
            <w:pPr>
              <w:pStyle w:val="TableParagraph"/>
              <w:spacing w:before="3"/>
              <w:ind w:left="589" w:right="580"/>
              <w:jc w:val="center"/>
              <w:rPr>
                <w:sz w:val="24"/>
              </w:rPr>
            </w:pPr>
            <w:r>
              <w:rPr>
                <w:sz w:val="24"/>
              </w:rPr>
              <w:t>Baixo</w:t>
            </w:r>
          </w:p>
        </w:tc>
      </w:tr>
      <w:tr>
        <w:trPr>
          <w:trHeight w:val="299" w:hRule="atLeast"/>
        </w:trPr>
        <w:tc>
          <w:tcPr>
            <w:tcW w:w="2184" w:type="dxa"/>
            <w:vMerge/>
            <w:tcBorders>
              <w:top w:val="nil"/>
            </w:tcBorders>
          </w:tcPr>
          <w:p>
            <w:pPr>
              <w:rPr>
                <w:sz w:val="2"/>
                <w:szCs w:val="2"/>
              </w:rPr>
            </w:pPr>
          </w:p>
        </w:tc>
        <w:tc>
          <w:tcPr>
            <w:tcW w:w="2706" w:type="dxa"/>
          </w:tcPr>
          <w:p>
            <w:pPr>
              <w:pStyle w:val="TableParagraph"/>
              <w:spacing w:before="3"/>
              <w:ind w:left="324"/>
              <w:rPr>
                <w:sz w:val="24"/>
              </w:rPr>
            </w:pPr>
            <w:r>
              <w:rPr>
                <w:sz w:val="24"/>
              </w:rPr>
              <w:t>Barragem do Lagarto</w:t>
            </w:r>
          </w:p>
        </w:tc>
        <w:tc>
          <w:tcPr>
            <w:tcW w:w="1985" w:type="dxa"/>
          </w:tcPr>
          <w:p>
            <w:pPr>
              <w:pStyle w:val="TableParagraph"/>
              <w:spacing w:before="3"/>
              <w:ind w:left="702"/>
              <w:rPr>
                <w:sz w:val="24"/>
              </w:rPr>
            </w:pPr>
            <w:r>
              <w:rPr>
                <w:sz w:val="24"/>
              </w:rPr>
              <w:t>Baixo</w:t>
            </w:r>
          </w:p>
        </w:tc>
        <w:tc>
          <w:tcPr>
            <w:tcW w:w="1846" w:type="dxa"/>
          </w:tcPr>
          <w:p>
            <w:pPr>
              <w:pStyle w:val="TableParagraph"/>
              <w:spacing w:before="3"/>
              <w:ind w:left="589" w:right="580"/>
              <w:jc w:val="center"/>
              <w:rPr>
                <w:sz w:val="24"/>
              </w:rPr>
            </w:pPr>
            <w:r>
              <w:rPr>
                <w:sz w:val="24"/>
              </w:rPr>
              <w:t>Baixo</w:t>
            </w:r>
          </w:p>
        </w:tc>
      </w:tr>
      <w:tr>
        <w:trPr>
          <w:trHeight w:val="333" w:hRule="atLeast"/>
        </w:trPr>
        <w:tc>
          <w:tcPr>
            <w:tcW w:w="2184" w:type="dxa"/>
            <w:vMerge/>
            <w:tcBorders>
              <w:top w:val="nil"/>
            </w:tcBorders>
          </w:tcPr>
          <w:p>
            <w:pPr>
              <w:rPr>
                <w:sz w:val="2"/>
                <w:szCs w:val="2"/>
              </w:rPr>
            </w:pPr>
          </w:p>
        </w:tc>
        <w:tc>
          <w:tcPr>
            <w:tcW w:w="2706" w:type="dxa"/>
          </w:tcPr>
          <w:p>
            <w:pPr>
              <w:pStyle w:val="TableParagraph"/>
              <w:spacing w:before="20"/>
              <w:ind w:right="164"/>
              <w:jc w:val="right"/>
              <w:rPr>
                <w:sz w:val="24"/>
              </w:rPr>
            </w:pPr>
            <w:r>
              <w:rPr>
                <w:sz w:val="24"/>
              </w:rPr>
              <w:t>Barragem Casa de Pedra</w:t>
            </w:r>
          </w:p>
        </w:tc>
        <w:tc>
          <w:tcPr>
            <w:tcW w:w="1985" w:type="dxa"/>
          </w:tcPr>
          <w:p>
            <w:pPr>
              <w:pStyle w:val="TableParagraph"/>
              <w:spacing w:before="20"/>
              <w:ind w:left="702"/>
              <w:rPr>
                <w:sz w:val="24"/>
              </w:rPr>
            </w:pPr>
            <w:r>
              <w:rPr>
                <w:sz w:val="24"/>
              </w:rPr>
              <w:t>Baixo</w:t>
            </w:r>
          </w:p>
        </w:tc>
        <w:tc>
          <w:tcPr>
            <w:tcW w:w="1846" w:type="dxa"/>
            <w:shd w:val="clear" w:color="auto" w:fill="FF0000"/>
          </w:tcPr>
          <w:p>
            <w:pPr>
              <w:pStyle w:val="TableParagraph"/>
              <w:spacing w:before="20"/>
              <w:ind w:left="586" w:right="580"/>
              <w:jc w:val="center"/>
              <w:rPr>
                <w:sz w:val="24"/>
              </w:rPr>
            </w:pPr>
            <w:r>
              <w:rPr>
                <w:sz w:val="24"/>
              </w:rPr>
              <w:t>Alto</w:t>
            </w:r>
          </w:p>
        </w:tc>
      </w:tr>
      <w:tr>
        <w:trPr>
          <w:trHeight w:val="299" w:hRule="atLeast"/>
        </w:trPr>
        <w:tc>
          <w:tcPr>
            <w:tcW w:w="2184" w:type="dxa"/>
            <w:vMerge/>
            <w:tcBorders>
              <w:top w:val="nil"/>
            </w:tcBorders>
          </w:tcPr>
          <w:p>
            <w:pPr>
              <w:rPr>
                <w:sz w:val="2"/>
                <w:szCs w:val="2"/>
              </w:rPr>
            </w:pPr>
          </w:p>
        </w:tc>
        <w:tc>
          <w:tcPr>
            <w:tcW w:w="2706" w:type="dxa"/>
          </w:tcPr>
          <w:p>
            <w:pPr>
              <w:pStyle w:val="TableParagraph"/>
              <w:spacing w:before="4"/>
              <w:ind w:left="705"/>
              <w:rPr>
                <w:sz w:val="24"/>
              </w:rPr>
            </w:pPr>
            <w:r>
              <w:rPr>
                <w:sz w:val="24"/>
              </w:rPr>
              <w:t>Barragem B5</w:t>
            </w:r>
          </w:p>
        </w:tc>
        <w:tc>
          <w:tcPr>
            <w:tcW w:w="1985" w:type="dxa"/>
          </w:tcPr>
          <w:p>
            <w:pPr>
              <w:pStyle w:val="TableParagraph"/>
              <w:spacing w:before="4"/>
              <w:ind w:left="702"/>
              <w:rPr>
                <w:sz w:val="24"/>
              </w:rPr>
            </w:pPr>
            <w:r>
              <w:rPr>
                <w:sz w:val="24"/>
              </w:rPr>
              <w:t>Baixo</w:t>
            </w:r>
          </w:p>
        </w:tc>
        <w:tc>
          <w:tcPr>
            <w:tcW w:w="1846" w:type="dxa"/>
          </w:tcPr>
          <w:p>
            <w:pPr>
              <w:pStyle w:val="TableParagraph"/>
              <w:spacing w:before="4"/>
              <w:ind w:left="589" w:right="580"/>
              <w:jc w:val="center"/>
              <w:rPr>
                <w:sz w:val="24"/>
              </w:rPr>
            </w:pPr>
            <w:r>
              <w:rPr>
                <w:sz w:val="24"/>
              </w:rPr>
              <w:t>Médio</w:t>
            </w:r>
          </w:p>
        </w:tc>
      </w:tr>
      <w:tr>
        <w:trPr>
          <w:trHeight w:val="299" w:hRule="atLeast"/>
        </w:trPr>
        <w:tc>
          <w:tcPr>
            <w:tcW w:w="2184" w:type="dxa"/>
            <w:vMerge/>
            <w:tcBorders>
              <w:top w:val="nil"/>
            </w:tcBorders>
          </w:tcPr>
          <w:p>
            <w:pPr>
              <w:rPr>
                <w:sz w:val="2"/>
                <w:szCs w:val="2"/>
              </w:rPr>
            </w:pPr>
          </w:p>
        </w:tc>
        <w:tc>
          <w:tcPr>
            <w:tcW w:w="2706" w:type="dxa"/>
          </w:tcPr>
          <w:p>
            <w:pPr>
              <w:pStyle w:val="TableParagraph"/>
              <w:spacing w:before="3"/>
              <w:ind w:left="705"/>
              <w:rPr>
                <w:sz w:val="24"/>
              </w:rPr>
            </w:pPr>
            <w:r>
              <w:rPr>
                <w:sz w:val="24"/>
              </w:rPr>
              <w:t>Barragem B4</w:t>
            </w:r>
          </w:p>
        </w:tc>
        <w:tc>
          <w:tcPr>
            <w:tcW w:w="1985" w:type="dxa"/>
          </w:tcPr>
          <w:p>
            <w:pPr>
              <w:pStyle w:val="TableParagraph"/>
              <w:spacing w:before="3"/>
              <w:ind w:left="702"/>
              <w:rPr>
                <w:sz w:val="24"/>
              </w:rPr>
            </w:pPr>
            <w:r>
              <w:rPr>
                <w:sz w:val="24"/>
              </w:rPr>
              <w:t>Baixo</w:t>
            </w:r>
          </w:p>
        </w:tc>
        <w:tc>
          <w:tcPr>
            <w:tcW w:w="1846" w:type="dxa"/>
            <w:shd w:val="clear" w:color="auto" w:fill="FF0000"/>
          </w:tcPr>
          <w:p>
            <w:pPr>
              <w:pStyle w:val="TableParagraph"/>
              <w:spacing w:before="3"/>
              <w:ind w:left="586" w:right="580"/>
              <w:jc w:val="center"/>
              <w:rPr>
                <w:sz w:val="24"/>
              </w:rPr>
            </w:pPr>
            <w:r>
              <w:rPr>
                <w:sz w:val="24"/>
              </w:rPr>
              <w:t>Alto</w:t>
            </w:r>
          </w:p>
        </w:tc>
      </w:tr>
      <w:tr>
        <w:trPr>
          <w:trHeight w:val="551" w:hRule="atLeast"/>
        </w:trPr>
        <w:tc>
          <w:tcPr>
            <w:tcW w:w="2184" w:type="dxa"/>
            <w:vMerge/>
            <w:tcBorders>
              <w:top w:val="nil"/>
            </w:tcBorders>
          </w:tcPr>
          <w:p>
            <w:pPr>
              <w:rPr>
                <w:sz w:val="2"/>
                <w:szCs w:val="2"/>
              </w:rPr>
            </w:pPr>
          </w:p>
        </w:tc>
        <w:tc>
          <w:tcPr>
            <w:tcW w:w="2706" w:type="dxa"/>
          </w:tcPr>
          <w:p>
            <w:pPr>
              <w:pStyle w:val="TableParagraph"/>
              <w:spacing w:line="268" w:lineRule="exact"/>
              <w:ind w:left="272" w:right="269"/>
              <w:jc w:val="center"/>
              <w:rPr>
                <w:sz w:val="24"/>
              </w:rPr>
            </w:pPr>
            <w:r>
              <w:rPr>
                <w:sz w:val="24"/>
              </w:rPr>
              <w:t>Barragem Auxiliar do</w:t>
            </w:r>
          </w:p>
          <w:p>
            <w:pPr>
              <w:pStyle w:val="TableParagraph"/>
              <w:spacing w:line="264" w:lineRule="exact"/>
              <w:ind w:left="269" w:right="269"/>
              <w:jc w:val="center"/>
              <w:rPr>
                <w:sz w:val="24"/>
              </w:rPr>
            </w:pPr>
            <w:r>
              <w:rPr>
                <w:sz w:val="24"/>
              </w:rPr>
              <w:t>Vigia</w:t>
            </w:r>
          </w:p>
        </w:tc>
        <w:tc>
          <w:tcPr>
            <w:tcW w:w="1985" w:type="dxa"/>
          </w:tcPr>
          <w:p>
            <w:pPr>
              <w:pStyle w:val="TableParagraph"/>
              <w:spacing w:before="131"/>
              <w:ind w:left="702"/>
              <w:rPr>
                <w:sz w:val="24"/>
              </w:rPr>
            </w:pPr>
            <w:r>
              <w:rPr>
                <w:sz w:val="24"/>
              </w:rPr>
              <w:t>Baixo</w:t>
            </w:r>
          </w:p>
        </w:tc>
        <w:tc>
          <w:tcPr>
            <w:tcW w:w="1846" w:type="dxa"/>
            <w:shd w:val="clear" w:color="auto" w:fill="FF0000"/>
          </w:tcPr>
          <w:p>
            <w:pPr>
              <w:pStyle w:val="TableParagraph"/>
              <w:spacing w:before="131"/>
              <w:ind w:left="586" w:right="580"/>
              <w:jc w:val="center"/>
              <w:rPr>
                <w:sz w:val="24"/>
              </w:rPr>
            </w:pPr>
            <w:r>
              <w:rPr>
                <w:sz w:val="24"/>
              </w:rPr>
              <w:t>Alto</w:t>
            </w:r>
          </w:p>
        </w:tc>
      </w:tr>
      <w:tr>
        <w:trPr>
          <w:trHeight w:val="299" w:hRule="atLeast"/>
        </w:trPr>
        <w:tc>
          <w:tcPr>
            <w:tcW w:w="2184" w:type="dxa"/>
            <w:vMerge w:val="restart"/>
          </w:tcPr>
          <w:p>
            <w:pPr>
              <w:pStyle w:val="TableParagraph"/>
              <w:rPr>
                <w:sz w:val="26"/>
              </w:rPr>
            </w:pPr>
          </w:p>
          <w:p>
            <w:pPr>
              <w:pStyle w:val="TableParagraph"/>
              <w:spacing w:before="192"/>
              <w:ind w:left="205" w:right="199"/>
              <w:jc w:val="center"/>
              <w:rPr>
                <w:b/>
                <w:sz w:val="24"/>
              </w:rPr>
            </w:pPr>
            <w:r>
              <w:rPr>
                <w:b/>
                <w:sz w:val="24"/>
              </w:rPr>
              <w:t>VALE S/A</w:t>
            </w:r>
          </w:p>
          <w:p>
            <w:pPr>
              <w:pStyle w:val="TableParagraph"/>
              <w:ind w:left="202" w:right="199"/>
              <w:jc w:val="center"/>
              <w:rPr>
                <w:b/>
                <w:sz w:val="24"/>
              </w:rPr>
            </w:pPr>
            <w:r>
              <w:rPr>
                <w:b/>
                <w:sz w:val="24"/>
              </w:rPr>
              <w:t>(5 estruturas)</w:t>
            </w:r>
          </w:p>
        </w:tc>
        <w:tc>
          <w:tcPr>
            <w:tcW w:w="2706" w:type="dxa"/>
          </w:tcPr>
          <w:p>
            <w:pPr>
              <w:pStyle w:val="TableParagraph"/>
              <w:spacing w:before="3"/>
              <w:ind w:left="271" w:right="269"/>
              <w:jc w:val="center"/>
              <w:rPr>
                <w:sz w:val="24"/>
              </w:rPr>
            </w:pPr>
            <w:r>
              <w:rPr>
                <w:sz w:val="24"/>
              </w:rPr>
              <w:t>Gambá</w:t>
            </w:r>
          </w:p>
        </w:tc>
        <w:tc>
          <w:tcPr>
            <w:tcW w:w="1985" w:type="dxa"/>
          </w:tcPr>
          <w:p>
            <w:pPr>
              <w:pStyle w:val="TableParagraph"/>
              <w:spacing w:before="3"/>
              <w:ind w:left="702"/>
              <w:rPr>
                <w:sz w:val="24"/>
              </w:rPr>
            </w:pPr>
            <w:r>
              <w:rPr>
                <w:sz w:val="24"/>
              </w:rPr>
              <w:t>Baixo</w:t>
            </w:r>
          </w:p>
        </w:tc>
        <w:tc>
          <w:tcPr>
            <w:tcW w:w="1846" w:type="dxa"/>
          </w:tcPr>
          <w:p>
            <w:pPr>
              <w:pStyle w:val="TableParagraph"/>
              <w:spacing w:before="3"/>
              <w:ind w:left="589" w:right="580"/>
              <w:jc w:val="center"/>
              <w:rPr>
                <w:sz w:val="24"/>
              </w:rPr>
            </w:pPr>
            <w:r>
              <w:rPr>
                <w:sz w:val="24"/>
              </w:rPr>
              <w:t>Baixo</w:t>
            </w:r>
          </w:p>
        </w:tc>
      </w:tr>
      <w:tr>
        <w:trPr>
          <w:trHeight w:val="299" w:hRule="atLeast"/>
        </w:trPr>
        <w:tc>
          <w:tcPr>
            <w:tcW w:w="2184" w:type="dxa"/>
            <w:vMerge/>
            <w:tcBorders>
              <w:top w:val="nil"/>
            </w:tcBorders>
          </w:tcPr>
          <w:p>
            <w:pPr>
              <w:rPr>
                <w:sz w:val="2"/>
                <w:szCs w:val="2"/>
              </w:rPr>
            </w:pPr>
          </w:p>
        </w:tc>
        <w:tc>
          <w:tcPr>
            <w:tcW w:w="2706" w:type="dxa"/>
          </w:tcPr>
          <w:p>
            <w:pPr>
              <w:pStyle w:val="TableParagraph"/>
              <w:spacing w:before="3"/>
              <w:ind w:left="881"/>
              <w:rPr>
                <w:sz w:val="24"/>
              </w:rPr>
            </w:pPr>
            <w:r>
              <w:rPr>
                <w:sz w:val="24"/>
              </w:rPr>
              <w:t>Barnabé I</w:t>
            </w:r>
          </w:p>
        </w:tc>
        <w:tc>
          <w:tcPr>
            <w:tcW w:w="1985" w:type="dxa"/>
          </w:tcPr>
          <w:p>
            <w:pPr>
              <w:pStyle w:val="TableParagraph"/>
              <w:spacing w:before="3"/>
              <w:ind w:left="702"/>
              <w:rPr>
                <w:sz w:val="24"/>
              </w:rPr>
            </w:pPr>
            <w:r>
              <w:rPr>
                <w:sz w:val="24"/>
              </w:rPr>
              <w:t>Baixo</w:t>
            </w:r>
          </w:p>
        </w:tc>
        <w:tc>
          <w:tcPr>
            <w:tcW w:w="1846" w:type="dxa"/>
            <w:shd w:val="clear" w:color="auto" w:fill="FF0000"/>
          </w:tcPr>
          <w:p>
            <w:pPr>
              <w:pStyle w:val="TableParagraph"/>
              <w:spacing w:before="3"/>
              <w:ind w:left="586" w:right="580"/>
              <w:jc w:val="center"/>
              <w:rPr>
                <w:sz w:val="24"/>
              </w:rPr>
            </w:pPr>
            <w:r>
              <w:rPr>
                <w:sz w:val="24"/>
              </w:rPr>
              <w:t>Alto</w:t>
            </w:r>
          </w:p>
        </w:tc>
      </w:tr>
      <w:tr>
        <w:trPr>
          <w:trHeight w:val="302" w:hRule="atLeast"/>
        </w:trPr>
        <w:tc>
          <w:tcPr>
            <w:tcW w:w="2184" w:type="dxa"/>
            <w:vMerge/>
            <w:tcBorders>
              <w:top w:val="nil"/>
            </w:tcBorders>
          </w:tcPr>
          <w:p>
            <w:pPr>
              <w:rPr>
                <w:sz w:val="2"/>
                <w:szCs w:val="2"/>
              </w:rPr>
            </w:pPr>
          </w:p>
        </w:tc>
        <w:tc>
          <w:tcPr>
            <w:tcW w:w="2706" w:type="dxa"/>
          </w:tcPr>
          <w:p>
            <w:pPr>
              <w:pStyle w:val="TableParagraph"/>
              <w:spacing w:before="6"/>
              <w:ind w:left="271" w:right="269"/>
              <w:jc w:val="center"/>
              <w:rPr>
                <w:sz w:val="24"/>
              </w:rPr>
            </w:pPr>
            <w:r>
              <w:rPr>
                <w:sz w:val="24"/>
              </w:rPr>
              <w:t>Barnabé</w:t>
            </w:r>
          </w:p>
        </w:tc>
        <w:tc>
          <w:tcPr>
            <w:tcW w:w="1985" w:type="dxa"/>
          </w:tcPr>
          <w:p>
            <w:pPr>
              <w:pStyle w:val="TableParagraph"/>
              <w:spacing w:before="6"/>
              <w:ind w:left="702"/>
              <w:rPr>
                <w:sz w:val="24"/>
              </w:rPr>
            </w:pPr>
            <w:r>
              <w:rPr>
                <w:sz w:val="24"/>
              </w:rPr>
              <w:t>Baixo</w:t>
            </w:r>
          </w:p>
        </w:tc>
        <w:tc>
          <w:tcPr>
            <w:tcW w:w="1846" w:type="dxa"/>
            <w:shd w:val="clear" w:color="auto" w:fill="FF0000"/>
          </w:tcPr>
          <w:p>
            <w:pPr>
              <w:pStyle w:val="TableParagraph"/>
              <w:spacing w:before="6"/>
              <w:ind w:left="586" w:right="580"/>
              <w:jc w:val="center"/>
              <w:rPr>
                <w:sz w:val="24"/>
              </w:rPr>
            </w:pPr>
            <w:r>
              <w:rPr>
                <w:sz w:val="24"/>
              </w:rPr>
              <w:t>Alto</w:t>
            </w:r>
          </w:p>
        </w:tc>
      </w:tr>
      <w:tr>
        <w:trPr>
          <w:trHeight w:val="299" w:hRule="atLeast"/>
        </w:trPr>
        <w:tc>
          <w:tcPr>
            <w:tcW w:w="2184" w:type="dxa"/>
            <w:vMerge/>
            <w:tcBorders>
              <w:top w:val="nil"/>
            </w:tcBorders>
          </w:tcPr>
          <w:p>
            <w:pPr>
              <w:rPr>
                <w:sz w:val="2"/>
                <w:szCs w:val="2"/>
              </w:rPr>
            </w:pPr>
          </w:p>
        </w:tc>
        <w:tc>
          <w:tcPr>
            <w:tcW w:w="2706" w:type="dxa"/>
          </w:tcPr>
          <w:p>
            <w:pPr>
              <w:pStyle w:val="TableParagraph"/>
              <w:spacing w:before="3"/>
              <w:ind w:left="444"/>
              <w:rPr>
                <w:sz w:val="24"/>
              </w:rPr>
            </w:pPr>
            <w:r>
              <w:rPr>
                <w:sz w:val="24"/>
              </w:rPr>
              <w:t>Baixo João Pereira</w:t>
            </w:r>
          </w:p>
        </w:tc>
        <w:tc>
          <w:tcPr>
            <w:tcW w:w="1985" w:type="dxa"/>
          </w:tcPr>
          <w:p>
            <w:pPr>
              <w:pStyle w:val="TableParagraph"/>
              <w:spacing w:before="3"/>
              <w:ind w:left="702"/>
              <w:rPr>
                <w:sz w:val="24"/>
              </w:rPr>
            </w:pPr>
            <w:r>
              <w:rPr>
                <w:sz w:val="24"/>
              </w:rPr>
              <w:t>Baixo</w:t>
            </w:r>
          </w:p>
        </w:tc>
        <w:tc>
          <w:tcPr>
            <w:tcW w:w="1846" w:type="dxa"/>
          </w:tcPr>
          <w:p>
            <w:pPr>
              <w:pStyle w:val="TableParagraph"/>
              <w:spacing w:before="3"/>
              <w:ind w:left="589" w:right="580"/>
              <w:jc w:val="center"/>
              <w:rPr>
                <w:sz w:val="24"/>
              </w:rPr>
            </w:pPr>
            <w:r>
              <w:rPr>
                <w:sz w:val="24"/>
              </w:rPr>
              <w:t>Médio</w:t>
            </w:r>
          </w:p>
        </w:tc>
      </w:tr>
      <w:tr>
        <w:trPr>
          <w:trHeight w:val="299" w:hRule="atLeast"/>
        </w:trPr>
        <w:tc>
          <w:tcPr>
            <w:tcW w:w="2184" w:type="dxa"/>
            <w:vMerge/>
            <w:tcBorders>
              <w:top w:val="nil"/>
            </w:tcBorders>
          </w:tcPr>
          <w:p>
            <w:pPr>
              <w:rPr>
                <w:sz w:val="2"/>
                <w:szCs w:val="2"/>
              </w:rPr>
            </w:pPr>
          </w:p>
        </w:tc>
        <w:tc>
          <w:tcPr>
            <w:tcW w:w="2706" w:type="dxa"/>
          </w:tcPr>
          <w:p>
            <w:pPr>
              <w:pStyle w:val="TableParagraph"/>
              <w:spacing w:before="3"/>
              <w:ind w:left="653"/>
              <w:rPr>
                <w:sz w:val="24"/>
              </w:rPr>
            </w:pPr>
            <w:r>
              <w:rPr>
                <w:sz w:val="24"/>
              </w:rPr>
              <w:t>Alto Jacutinga</w:t>
            </w:r>
          </w:p>
        </w:tc>
        <w:tc>
          <w:tcPr>
            <w:tcW w:w="1985" w:type="dxa"/>
          </w:tcPr>
          <w:p>
            <w:pPr>
              <w:pStyle w:val="TableParagraph"/>
              <w:spacing w:before="3"/>
              <w:ind w:left="702"/>
              <w:rPr>
                <w:sz w:val="24"/>
              </w:rPr>
            </w:pPr>
            <w:r>
              <w:rPr>
                <w:sz w:val="24"/>
              </w:rPr>
              <w:t>Baixo</w:t>
            </w:r>
          </w:p>
        </w:tc>
        <w:tc>
          <w:tcPr>
            <w:tcW w:w="1846" w:type="dxa"/>
          </w:tcPr>
          <w:p>
            <w:pPr>
              <w:pStyle w:val="TableParagraph"/>
              <w:spacing w:before="3"/>
              <w:ind w:left="589" w:right="580"/>
              <w:jc w:val="center"/>
              <w:rPr>
                <w:sz w:val="24"/>
              </w:rPr>
            </w:pPr>
            <w:r>
              <w:rPr>
                <w:sz w:val="24"/>
              </w:rPr>
              <w:t>Baixo</w:t>
            </w:r>
          </w:p>
        </w:tc>
      </w:tr>
      <w:tr>
        <w:trPr>
          <w:trHeight w:val="299" w:hRule="atLeast"/>
        </w:trPr>
        <w:tc>
          <w:tcPr>
            <w:tcW w:w="2184" w:type="dxa"/>
            <w:vMerge w:val="restart"/>
          </w:tcPr>
          <w:p>
            <w:pPr>
              <w:pStyle w:val="TableParagraph"/>
              <w:spacing w:before="11"/>
              <w:rPr>
                <w:sz w:val="29"/>
              </w:rPr>
            </w:pPr>
          </w:p>
          <w:p>
            <w:pPr>
              <w:pStyle w:val="TableParagraph"/>
              <w:ind w:left="206" w:right="199"/>
              <w:jc w:val="center"/>
              <w:rPr>
                <w:b/>
                <w:sz w:val="24"/>
              </w:rPr>
            </w:pPr>
            <w:r>
              <w:rPr>
                <w:b/>
                <w:sz w:val="24"/>
              </w:rPr>
              <w:t>GERDAU AÇOMINAS S/A</w:t>
            </w:r>
          </w:p>
          <w:p>
            <w:pPr>
              <w:pStyle w:val="TableParagraph"/>
              <w:ind w:left="202" w:right="199"/>
              <w:jc w:val="center"/>
              <w:rPr>
                <w:b/>
                <w:sz w:val="24"/>
              </w:rPr>
            </w:pPr>
            <w:r>
              <w:rPr>
                <w:b/>
                <w:sz w:val="24"/>
              </w:rPr>
              <w:t>(5 estruturas)</w:t>
            </w:r>
          </w:p>
        </w:tc>
        <w:tc>
          <w:tcPr>
            <w:tcW w:w="2706" w:type="dxa"/>
          </w:tcPr>
          <w:p>
            <w:pPr>
              <w:pStyle w:val="TableParagraph"/>
              <w:spacing w:before="3"/>
              <w:ind w:left="405"/>
              <w:rPr>
                <w:sz w:val="24"/>
              </w:rPr>
            </w:pPr>
            <w:r>
              <w:rPr>
                <w:sz w:val="24"/>
              </w:rPr>
              <w:t>Barragem Soledade</w:t>
            </w:r>
          </w:p>
        </w:tc>
        <w:tc>
          <w:tcPr>
            <w:tcW w:w="1985" w:type="dxa"/>
          </w:tcPr>
          <w:p>
            <w:pPr>
              <w:pStyle w:val="TableParagraph"/>
              <w:spacing w:before="3"/>
              <w:ind w:left="702"/>
              <w:rPr>
                <w:sz w:val="24"/>
              </w:rPr>
            </w:pPr>
            <w:r>
              <w:rPr>
                <w:sz w:val="24"/>
              </w:rPr>
              <w:t>Baixo</w:t>
            </w:r>
          </w:p>
        </w:tc>
        <w:tc>
          <w:tcPr>
            <w:tcW w:w="1846" w:type="dxa"/>
            <w:shd w:val="clear" w:color="auto" w:fill="FF0000"/>
          </w:tcPr>
          <w:p>
            <w:pPr>
              <w:pStyle w:val="TableParagraph"/>
              <w:spacing w:before="3"/>
              <w:ind w:left="586" w:right="580"/>
              <w:jc w:val="center"/>
              <w:rPr>
                <w:sz w:val="24"/>
              </w:rPr>
            </w:pPr>
            <w:r>
              <w:rPr>
                <w:sz w:val="24"/>
              </w:rPr>
              <w:t>Alto</w:t>
            </w:r>
          </w:p>
        </w:tc>
      </w:tr>
      <w:tr>
        <w:trPr>
          <w:trHeight w:val="299" w:hRule="atLeast"/>
        </w:trPr>
        <w:tc>
          <w:tcPr>
            <w:tcW w:w="2184" w:type="dxa"/>
            <w:vMerge/>
            <w:tcBorders>
              <w:top w:val="nil"/>
            </w:tcBorders>
          </w:tcPr>
          <w:p>
            <w:pPr>
              <w:rPr>
                <w:sz w:val="2"/>
                <w:szCs w:val="2"/>
              </w:rPr>
            </w:pPr>
          </w:p>
        </w:tc>
        <w:tc>
          <w:tcPr>
            <w:tcW w:w="2706" w:type="dxa"/>
          </w:tcPr>
          <w:p>
            <w:pPr>
              <w:pStyle w:val="TableParagraph"/>
              <w:spacing w:before="3"/>
              <w:ind w:left="492"/>
              <w:rPr>
                <w:sz w:val="24"/>
              </w:rPr>
            </w:pPr>
            <w:r>
              <w:rPr>
                <w:sz w:val="24"/>
              </w:rPr>
              <w:t>Baias da UTM 01</w:t>
            </w:r>
          </w:p>
        </w:tc>
        <w:tc>
          <w:tcPr>
            <w:tcW w:w="1985" w:type="dxa"/>
          </w:tcPr>
          <w:p>
            <w:pPr>
              <w:pStyle w:val="TableParagraph"/>
              <w:spacing w:before="3"/>
              <w:ind w:left="702"/>
              <w:rPr>
                <w:sz w:val="24"/>
              </w:rPr>
            </w:pPr>
            <w:r>
              <w:rPr>
                <w:sz w:val="24"/>
              </w:rPr>
              <w:t>Baixo</w:t>
            </w:r>
          </w:p>
        </w:tc>
        <w:tc>
          <w:tcPr>
            <w:tcW w:w="1846" w:type="dxa"/>
            <w:shd w:val="clear" w:color="auto" w:fill="FF0000"/>
          </w:tcPr>
          <w:p>
            <w:pPr>
              <w:pStyle w:val="TableParagraph"/>
              <w:spacing w:before="3"/>
              <w:ind w:left="586" w:right="580"/>
              <w:jc w:val="center"/>
              <w:rPr>
                <w:sz w:val="24"/>
              </w:rPr>
            </w:pPr>
            <w:r>
              <w:rPr>
                <w:sz w:val="24"/>
              </w:rPr>
              <w:t>Alto</w:t>
            </w:r>
          </w:p>
        </w:tc>
      </w:tr>
      <w:tr>
        <w:trPr>
          <w:trHeight w:val="299" w:hRule="atLeast"/>
        </w:trPr>
        <w:tc>
          <w:tcPr>
            <w:tcW w:w="2184" w:type="dxa"/>
            <w:vMerge/>
            <w:tcBorders>
              <w:top w:val="nil"/>
            </w:tcBorders>
          </w:tcPr>
          <w:p>
            <w:pPr>
              <w:rPr>
                <w:sz w:val="2"/>
                <w:szCs w:val="2"/>
              </w:rPr>
            </w:pPr>
          </w:p>
        </w:tc>
        <w:tc>
          <w:tcPr>
            <w:tcW w:w="2706" w:type="dxa"/>
          </w:tcPr>
          <w:p>
            <w:pPr>
              <w:pStyle w:val="TableParagraph"/>
              <w:spacing w:before="3"/>
              <w:ind w:left="492"/>
              <w:rPr>
                <w:sz w:val="24"/>
              </w:rPr>
            </w:pPr>
            <w:r>
              <w:rPr>
                <w:sz w:val="24"/>
              </w:rPr>
              <w:t>Baias da UTM 02</w:t>
            </w:r>
          </w:p>
        </w:tc>
        <w:tc>
          <w:tcPr>
            <w:tcW w:w="1985" w:type="dxa"/>
          </w:tcPr>
          <w:p>
            <w:pPr>
              <w:pStyle w:val="TableParagraph"/>
              <w:spacing w:before="3"/>
              <w:ind w:left="702"/>
              <w:rPr>
                <w:sz w:val="24"/>
              </w:rPr>
            </w:pPr>
            <w:r>
              <w:rPr>
                <w:sz w:val="24"/>
              </w:rPr>
              <w:t>Baixo</w:t>
            </w:r>
          </w:p>
        </w:tc>
        <w:tc>
          <w:tcPr>
            <w:tcW w:w="1846" w:type="dxa"/>
            <w:shd w:val="clear" w:color="auto" w:fill="FF0000"/>
          </w:tcPr>
          <w:p>
            <w:pPr>
              <w:pStyle w:val="TableParagraph"/>
              <w:spacing w:before="3"/>
              <w:ind w:left="586" w:right="580"/>
              <w:jc w:val="center"/>
              <w:rPr>
                <w:sz w:val="24"/>
              </w:rPr>
            </w:pPr>
            <w:r>
              <w:rPr>
                <w:sz w:val="24"/>
              </w:rPr>
              <w:t>Alto</w:t>
            </w:r>
          </w:p>
        </w:tc>
      </w:tr>
      <w:tr>
        <w:trPr>
          <w:trHeight w:val="302" w:hRule="atLeast"/>
        </w:trPr>
        <w:tc>
          <w:tcPr>
            <w:tcW w:w="2184" w:type="dxa"/>
            <w:vMerge/>
            <w:tcBorders>
              <w:top w:val="nil"/>
            </w:tcBorders>
          </w:tcPr>
          <w:p>
            <w:pPr>
              <w:rPr>
                <w:sz w:val="2"/>
                <w:szCs w:val="2"/>
              </w:rPr>
            </w:pPr>
          </w:p>
        </w:tc>
        <w:tc>
          <w:tcPr>
            <w:tcW w:w="2706" w:type="dxa"/>
          </w:tcPr>
          <w:p>
            <w:pPr>
              <w:pStyle w:val="TableParagraph"/>
              <w:spacing w:before="6"/>
              <w:ind w:left="309"/>
              <w:rPr>
                <w:sz w:val="24"/>
              </w:rPr>
            </w:pPr>
            <w:r>
              <w:rPr>
                <w:sz w:val="24"/>
              </w:rPr>
              <w:t>Barragem de Bocaina</w:t>
            </w:r>
          </w:p>
        </w:tc>
        <w:tc>
          <w:tcPr>
            <w:tcW w:w="1985" w:type="dxa"/>
          </w:tcPr>
          <w:p>
            <w:pPr>
              <w:pStyle w:val="TableParagraph"/>
              <w:spacing w:before="6"/>
              <w:ind w:left="702"/>
              <w:rPr>
                <w:sz w:val="24"/>
              </w:rPr>
            </w:pPr>
            <w:r>
              <w:rPr>
                <w:sz w:val="24"/>
              </w:rPr>
              <w:t>Baixo</w:t>
            </w:r>
          </w:p>
        </w:tc>
        <w:tc>
          <w:tcPr>
            <w:tcW w:w="1846" w:type="dxa"/>
            <w:shd w:val="clear" w:color="auto" w:fill="FF0000"/>
          </w:tcPr>
          <w:p>
            <w:pPr>
              <w:pStyle w:val="TableParagraph"/>
              <w:spacing w:before="6"/>
              <w:ind w:left="586" w:right="580"/>
              <w:jc w:val="center"/>
              <w:rPr>
                <w:sz w:val="24"/>
              </w:rPr>
            </w:pPr>
            <w:r>
              <w:rPr>
                <w:sz w:val="24"/>
              </w:rPr>
              <w:t>Alto</w:t>
            </w:r>
          </w:p>
        </w:tc>
      </w:tr>
      <w:tr>
        <w:trPr>
          <w:trHeight w:val="285" w:hRule="atLeast"/>
        </w:trPr>
        <w:tc>
          <w:tcPr>
            <w:tcW w:w="2184" w:type="dxa"/>
            <w:vMerge/>
            <w:tcBorders>
              <w:top w:val="nil"/>
            </w:tcBorders>
          </w:tcPr>
          <w:p>
            <w:pPr>
              <w:rPr>
                <w:sz w:val="2"/>
                <w:szCs w:val="2"/>
              </w:rPr>
            </w:pPr>
          </w:p>
        </w:tc>
        <w:tc>
          <w:tcPr>
            <w:tcW w:w="2706" w:type="dxa"/>
          </w:tcPr>
          <w:p>
            <w:pPr>
              <w:pStyle w:val="TableParagraph"/>
              <w:spacing w:line="265" w:lineRule="exact"/>
              <w:ind w:right="189"/>
              <w:jc w:val="right"/>
              <w:rPr>
                <w:sz w:val="24"/>
              </w:rPr>
            </w:pPr>
            <w:r>
              <w:rPr>
                <w:sz w:val="24"/>
              </w:rPr>
              <w:t>Clarificação de Bocaina</w:t>
            </w:r>
          </w:p>
        </w:tc>
        <w:tc>
          <w:tcPr>
            <w:tcW w:w="1985" w:type="dxa"/>
          </w:tcPr>
          <w:p>
            <w:pPr>
              <w:pStyle w:val="TableParagraph"/>
              <w:spacing w:line="265" w:lineRule="exact"/>
              <w:ind w:left="702"/>
              <w:rPr>
                <w:sz w:val="24"/>
              </w:rPr>
            </w:pPr>
            <w:r>
              <w:rPr>
                <w:sz w:val="24"/>
              </w:rPr>
              <w:t>Baixo</w:t>
            </w:r>
          </w:p>
        </w:tc>
        <w:tc>
          <w:tcPr>
            <w:tcW w:w="1846" w:type="dxa"/>
            <w:shd w:val="clear" w:color="auto" w:fill="FF0000"/>
          </w:tcPr>
          <w:p>
            <w:pPr>
              <w:pStyle w:val="TableParagraph"/>
              <w:spacing w:line="265" w:lineRule="exact"/>
              <w:ind w:left="586" w:right="580"/>
              <w:jc w:val="center"/>
              <w:rPr>
                <w:sz w:val="24"/>
              </w:rPr>
            </w:pPr>
            <w:r>
              <w:rPr>
                <w:sz w:val="24"/>
              </w:rPr>
              <w:t>Alto</w:t>
            </w:r>
          </w:p>
        </w:tc>
      </w:tr>
      <w:tr>
        <w:trPr>
          <w:trHeight w:val="1103" w:hRule="atLeast"/>
        </w:trPr>
        <w:tc>
          <w:tcPr>
            <w:tcW w:w="2184" w:type="dxa"/>
          </w:tcPr>
          <w:p>
            <w:pPr>
              <w:pStyle w:val="TableParagraph"/>
              <w:ind w:left="76" w:right="73" w:hanging="1"/>
              <w:jc w:val="center"/>
              <w:rPr>
                <w:b/>
                <w:sz w:val="24"/>
              </w:rPr>
            </w:pPr>
            <w:r>
              <w:rPr>
                <w:b/>
                <w:sz w:val="24"/>
              </w:rPr>
              <w:t>FERROUS RESSOURCES</w:t>
            </w:r>
            <w:r>
              <w:rPr>
                <w:b/>
                <w:spacing w:val="-2"/>
                <w:sz w:val="24"/>
              </w:rPr>
              <w:t> </w:t>
            </w:r>
            <w:r>
              <w:rPr>
                <w:b/>
                <w:sz w:val="24"/>
              </w:rPr>
              <w:t>DO BRASIL</w:t>
            </w:r>
            <w:r>
              <w:rPr>
                <w:b/>
                <w:spacing w:val="-1"/>
                <w:sz w:val="24"/>
              </w:rPr>
              <w:t> </w:t>
            </w:r>
            <w:r>
              <w:rPr>
                <w:b/>
                <w:sz w:val="24"/>
              </w:rPr>
              <w:t>S.A</w:t>
            </w:r>
          </w:p>
          <w:p>
            <w:pPr>
              <w:pStyle w:val="TableParagraph"/>
              <w:spacing w:line="259" w:lineRule="exact"/>
              <w:ind w:left="201" w:right="199"/>
              <w:jc w:val="center"/>
              <w:rPr>
                <w:b/>
                <w:sz w:val="24"/>
              </w:rPr>
            </w:pPr>
            <w:r>
              <w:rPr>
                <w:b/>
                <w:sz w:val="24"/>
              </w:rPr>
              <w:t>(1</w:t>
            </w:r>
            <w:r>
              <w:rPr>
                <w:b/>
                <w:spacing w:val="-4"/>
                <w:sz w:val="24"/>
              </w:rPr>
              <w:t> </w:t>
            </w:r>
            <w:r>
              <w:rPr>
                <w:b/>
                <w:sz w:val="24"/>
              </w:rPr>
              <w:t>estrutura)</w:t>
            </w:r>
          </w:p>
        </w:tc>
        <w:tc>
          <w:tcPr>
            <w:tcW w:w="2706" w:type="dxa"/>
          </w:tcPr>
          <w:p>
            <w:pPr>
              <w:pStyle w:val="TableParagraph"/>
              <w:spacing w:before="2"/>
              <w:rPr>
                <w:sz w:val="35"/>
              </w:rPr>
            </w:pPr>
          </w:p>
          <w:p>
            <w:pPr>
              <w:pStyle w:val="TableParagraph"/>
              <w:ind w:right="197"/>
              <w:jc w:val="right"/>
              <w:rPr>
                <w:sz w:val="24"/>
              </w:rPr>
            </w:pPr>
            <w:r>
              <w:rPr>
                <w:sz w:val="24"/>
              </w:rPr>
              <w:t>Conjunto de Baias Viga</w:t>
            </w:r>
          </w:p>
        </w:tc>
        <w:tc>
          <w:tcPr>
            <w:tcW w:w="1985" w:type="dxa"/>
          </w:tcPr>
          <w:p>
            <w:pPr>
              <w:pStyle w:val="TableParagraph"/>
              <w:spacing w:before="2"/>
              <w:rPr>
                <w:sz w:val="35"/>
              </w:rPr>
            </w:pPr>
          </w:p>
          <w:p>
            <w:pPr>
              <w:pStyle w:val="TableParagraph"/>
              <w:ind w:left="702"/>
              <w:rPr>
                <w:sz w:val="24"/>
              </w:rPr>
            </w:pPr>
            <w:r>
              <w:rPr>
                <w:sz w:val="24"/>
              </w:rPr>
              <w:t>Baixo</w:t>
            </w:r>
          </w:p>
        </w:tc>
        <w:tc>
          <w:tcPr>
            <w:tcW w:w="1846" w:type="dxa"/>
          </w:tcPr>
          <w:p>
            <w:pPr>
              <w:pStyle w:val="TableParagraph"/>
              <w:spacing w:before="2"/>
              <w:rPr>
                <w:sz w:val="35"/>
              </w:rPr>
            </w:pPr>
          </w:p>
          <w:p>
            <w:pPr>
              <w:pStyle w:val="TableParagraph"/>
              <w:ind w:left="589" w:right="580"/>
              <w:jc w:val="center"/>
              <w:rPr>
                <w:sz w:val="24"/>
              </w:rPr>
            </w:pPr>
            <w:r>
              <w:rPr>
                <w:sz w:val="24"/>
              </w:rPr>
              <w:t>Baixo</w:t>
            </w:r>
          </w:p>
        </w:tc>
      </w:tr>
    </w:tbl>
    <w:p>
      <w:pPr>
        <w:pStyle w:val="BodyText"/>
        <w:rPr>
          <w:sz w:val="20"/>
        </w:rPr>
      </w:pPr>
    </w:p>
    <w:p>
      <w:pPr>
        <w:pStyle w:val="BodyText"/>
        <w:rPr>
          <w:sz w:val="20"/>
        </w:rPr>
      </w:pPr>
    </w:p>
    <w:p>
      <w:pPr>
        <w:pStyle w:val="BodyText"/>
        <w:rPr>
          <w:sz w:val="19"/>
        </w:rPr>
      </w:pPr>
      <w:r>
        <w:rPr/>
        <w:pict>
          <v:shape style="position:absolute;margin-left:475.660004pt;margin-top:12.157953pt;width:40.450pt;height:55.95pt;mso-position-horizontal-relative:page;mso-position-vertical-relative:paragraph;z-index:344;mso-wrap-distance-left:0;mso-wrap-distance-right:0" type="#_x0000_t202" filled="true" fillcolor="#6fac46" stroked="false">
            <v:textbox inset="0,0,0,0">
              <w:txbxContent>
                <w:p>
                  <w:pPr>
                    <w:pStyle w:val="BodyText"/>
                    <w:spacing w:before="10"/>
                    <w:rPr>
                      <w:sz w:val="29"/>
                    </w:rPr>
                  </w:pPr>
                </w:p>
                <w:p>
                  <w:pPr>
                    <w:spacing w:before="0"/>
                    <w:ind w:left="220" w:right="0" w:firstLine="0"/>
                    <w:jc w:val="left"/>
                    <w:rPr>
                      <w:rFonts w:ascii="Arial"/>
                      <w:sz w:val="36"/>
                    </w:rPr>
                  </w:pPr>
                  <w:r>
                    <w:rPr>
                      <w:rFonts w:ascii="Arial"/>
                      <w:color w:val="FFFFFF"/>
                      <w:sz w:val="36"/>
                    </w:rPr>
                    <w:t>16</w:t>
                  </w:r>
                </w:p>
              </w:txbxContent>
            </v:textbox>
            <v:fill type="solid"/>
            <w10:wrap type="topAndBottom"/>
          </v:shape>
        </w:pict>
      </w:r>
    </w:p>
    <w:p>
      <w:pPr>
        <w:spacing w:after="0"/>
        <w:rPr>
          <w:sz w:val="19"/>
        </w:rPr>
        <w:sectPr>
          <w:type w:val="continuous"/>
          <w:pgSz w:w="11910" w:h="16840"/>
          <w:pgMar w:top="0" w:bottom="280" w:left="0" w:right="0"/>
        </w:sectPr>
      </w:pPr>
    </w:p>
    <w:p>
      <w:pPr>
        <w:pStyle w:val="BodyText"/>
        <w:rPr>
          <w:sz w:val="20"/>
        </w:rPr>
      </w:pPr>
    </w:p>
    <w:p>
      <w:pPr>
        <w:pStyle w:val="BodyText"/>
        <w:rPr>
          <w:sz w:val="20"/>
        </w:rPr>
      </w:pPr>
    </w:p>
    <w:p>
      <w:pPr>
        <w:pStyle w:val="BodyText"/>
        <w:spacing w:before="1"/>
        <w:rPr>
          <w:sz w:val="18"/>
        </w:rPr>
      </w:pPr>
    </w:p>
    <w:p>
      <w:pPr>
        <w:spacing w:after="0"/>
        <w:rPr>
          <w:sz w:val="18"/>
        </w:rPr>
        <w:sectPr>
          <w:pgSz w:w="11910" w:h="16840"/>
          <w:pgMar w:top="0" w:bottom="0" w:left="0" w:right="0"/>
        </w:sectPr>
      </w:pPr>
    </w:p>
    <w:p>
      <w:pPr>
        <w:pStyle w:val="Heading1"/>
        <w:spacing w:line="172" w:lineRule="auto"/>
      </w:pPr>
      <w:r>
        <w:rPr/>
        <w:drawing>
          <wp:anchor distT="0" distB="0" distL="0" distR="0" allowOverlap="1" layoutInCell="1" locked="0" behindDoc="0" simplePos="0" relativeHeight="2728">
            <wp:simplePos x="0" y="0"/>
            <wp:positionH relativeFrom="page">
              <wp:posOffset>979932</wp:posOffset>
            </wp:positionH>
            <wp:positionV relativeFrom="paragraph">
              <wp:posOffset>-9589</wp:posOffset>
            </wp:positionV>
            <wp:extent cx="1478280" cy="612648"/>
            <wp:effectExtent l="0" t="0" r="0" b="0"/>
            <wp:wrapNone/>
            <wp:docPr id="73" name="image8.png" descr=""/>
            <wp:cNvGraphicFramePr>
              <a:graphicFrameLocks noChangeAspect="1"/>
            </wp:cNvGraphicFramePr>
            <a:graphic>
              <a:graphicData uri="http://schemas.openxmlformats.org/drawingml/2006/picture">
                <pic:pic>
                  <pic:nvPicPr>
                    <pic:cNvPr id="74" name="image8.png"/>
                    <pic:cNvPicPr/>
                  </pic:nvPicPr>
                  <pic:blipFill>
                    <a:blip r:embed="rId12" cstate="print"/>
                    <a:stretch>
                      <a:fillRect/>
                    </a:stretch>
                  </pic:blipFill>
                  <pic:spPr>
                    <a:xfrm>
                      <a:off x="0" y="0"/>
                      <a:ext cx="1478280" cy="612648"/>
                    </a:xfrm>
                    <a:prstGeom prst="rect">
                      <a:avLst/>
                    </a:prstGeom>
                  </pic:spPr>
                </pic:pic>
              </a:graphicData>
            </a:graphic>
          </wp:anchor>
        </w:drawing>
      </w:r>
      <w:r>
        <w:rPr>
          <w:color w:val="385522"/>
        </w:rPr>
        <w:t>meio </w:t>
      </w:r>
      <w:r>
        <w:rPr>
          <w:color w:val="385522"/>
          <w:w w:val="95"/>
        </w:rPr>
        <w:t>ambiente</w:t>
      </w:r>
    </w:p>
    <w:p>
      <w:pPr>
        <w:spacing w:before="60"/>
        <w:ind w:left="455" w:right="0" w:firstLine="0"/>
        <w:jc w:val="left"/>
        <w:rPr>
          <w:rFonts w:ascii="Arial" w:hAnsi="Arial"/>
          <w:sz w:val="22"/>
        </w:rPr>
      </w:pPr>
      <w:r>
        <w:rPr/>
        <w:br w:type="column"/>
      </w:r>
      <w:r>
        <w:rPr>
          <w:rFonts w:ascii="Arial" w:hAnsi="Arial"/>
          <w:color w:val="385522"/>
          <w:sz w:val="22"/>
        </w:rPr>
        <w:t>Plano Municipal de Segurança de Barragens-PMSB</w:t>
      </w:r>
    </w:p>
    <w:p>
      <w:pPr>
        <w:spacing w:after="0"/>
        <w:jc w:val="left"/>
        <w:rPr>
          <w:rFonts w:ascii="Arial" w:hAnsi="Arial"/>
          <w:sz w:val="22"/>
        </w:rPr>
        <w:sectPr>
          <w:type w:val="continuous"/>
          <w:pgSz w:w="11910" w:h="16840"/>
          <w:pgMar w:top="0" w:bottom="280" w:left="0" w:right="0"/>
          <w:cols w:num="2" w:equalWidth="0">
            <w:col w:w="5155" w:space="77"/>
            <w:col w:w="6678"/>
          </w:cols>
        </w:sectPr>
      </w:pPr>
    </w:p>
    <w:p>
      <w:pPr>
        <w:pStyle w:val="BodyText"/>
        <w:rPr>
          <w:rFonts w:ascii="Arial"/>
          <w:sz w:val="20"/>
        </w:rPr>
      </w:pPr>
      <w:r>
        <w:rPr/>
        <w:drawing>
          <wp:anchor distT="0" distB="0" distL="0" distR="0" allowOverlap="1" layoutInCell="1" locked="0" behindDoc="0" simplePos="0" relativeHeight="2752">
            <wp:simplePos x="0" y="0"/>
            <wp:positionH relativeFrom="page">
              <wp:posOffset>288925</wp:posOffset>
            </wp:positionH>
            <wp:positionV relativeFrom="page">
              <wp:posOffset>634</wp:posOffset>
            </wp:positionV>
            <wp:extent cx="474344" cy="10691748"/>
            <wp:effectExtent l="0" t="0" r="0" b="0"/>
            <wp:wrapNone/>
            <wp:docPr id="75" name="image9.png" descr=""/>
            <wp:cNvGraphicFramePr>
              <a:graphicFrameLocks noChangeAspect="1"/>
            </wp:cNvGraphicFramePr>
            <a:graphic>
              <a:graphicData uri="http://schemas.openxmlformats.org/drawingml/2006/picture">
                <pic:pic>
                  <pic:nvPicPr>
                    <pic:cNvPr id="76" name="image9.png"/>
                    <pic:cNvPicPr/>
                  </pic:nvPicPr>
                  <pic:blipFill>
                    <a:blip r:embed="rId13" cstate="print"/>
                    <a:stretch>
                      <a:fillRect/>
                    </a:stretch>
                  </pic:blipFill>
                  <pic:spPr>
                    <a:xfrm>
                      <a:off x="0" y="0"/>
                      <a:ext cx="474344" cy="10691748"/>
                    </a:xfrm>
                    <a:prstGeom prst="rect">
                      <a:avLst/>
                    </a:prstGeom>
                  </pic:spPr>
                </pic:pic>
              </a:graphicData>
            </a:graphic>
          </wp:anchor>
        </w:drawing>
      </w:r>
    </w:p>
    <w:p>
      <w:pPr>
        <w:pStyle w:val="BodyText"/>
        <w:rPr>
          <w:rFonts w:ascii="Arial"/>
          <w:sz w:val="20"/>
        </w:rPr>
      </w:pPr>
    </w:p>
    <w:p>
      <w:pPr>
        <w:pStyle w:val="BodyText"/>
        <w:spacing w:before="8"/>
        <w:rPr>
          <w:rFonts w:ascii="Arial"/>
          <w:sz w:val="22"/>
        </w:rPr>
      </w:pPr>
    </w:p>
    <w:p>
      <w:pPr>
        <w:pStyle w:val="BodyText"/>
        <w:spacing w:line="360" w:lineRule="auto" w:before="1"/>
        <w:ind w:left="1702" w:right="1694"/>
        <w:jc w:val="both"/>
      </w:pPr>
      <w:r>
        <w:rPr/>
        <w:t>Basicamente este é o mapa geral e cenário de localização de estruturas de barragens que podem afetar o município de Congonhas/MG, ocasionando sérios danos a área urbana segundo simulação de rompimento e cruzamento de dados associados.</w:t>
      </w:r>
    </w:p>
    <w:p>
      <w:pPr>
        <w:pStyle w:val="BodyText"/>
        <w:rPr>
          <w:sz w:val="20"/>
        </w:rPr>
      </w:pPr>
    </w:p>
    <w:p>
      <w:pPr>
        <w:pStyle w:val="BodyText"/>
        <w:rPr>
          <w:sz w:val="20"/>
        </w:rPr>
      </w:pPr>
    </w:p>
    <w:p>
      <w:pPr>
        <w:pStyle w:val="BodyText"/>
        <w:rPr>
          <w:sz w:val="20"/>
        </w:rPr>
      </w:pPr>
    </w:p>
    <w:p>
      <w:pPr>
        <w:pStyle w:val="BodyText"/>
        <w:spacing w:before="7"/>
        <w:rPr>
          <w:sz w:val="29"/>
        </w:rPr>
      </w:pPr>
      <w:r>
        <w:rPr/>
        <w:pict>
          <v:group style="position:absolute;margin-left:69.300003pt;margin-top:19.498032pt;width:484.05pt;height:367.25pt;mso-position-horizontal-relative:page;mso-position-vertical-relative:paragraph;z-index:632;mso-wrap-distance-left:0;mso-wrap-distance-right:0" coordorigin="1386,390" coordsize="9681,7345">
            <v:shape style="position:absolute;left:1677;top:1240;width:9053;height:6349" type="#_x0000_t75" stroked="false">
              <v:imagedata r:id="rId24" o:title=""/>
            </v:shape>
            <v:rect style="position:absolute;left:1396;top:5952;width:1940;height:1772" filled="true" fillcolor="#d6e3bc" stroked="false">
              <v:fill opacity="58853f" type="solid"/>
            </v:rect>
            <v:rect style="position:absolute;left:1396;top:5952;width:1940;height:1772" filled="false" stroked="true" strokeweight="1pt" strokecolor="#ffffff">
              <v:stroke dashstyle="solid"/>
            </v:rect>
            <v:shape style="position:absolute;left:3412;top:5103;width:1654;height:1729" coordorigin="3413,5103" coordsize="1654,1729" path="m3413,6832l4759,6808,5066,5103e" filled="false" stroked="true" strokeweight="1pt" strokecolor="#ffffff">
              <v:path arrowok="t"/>
              <v:stroke dashstyle="solid"/>
            </v:shape>
            <v:shape style="position:absolute;left:1406;top:6034;width:1920;height:1608" type="#_x0000_t75" stroked="false">
              <v:imagedata r:id="rId25" o:title=""/>
            </v:shape>
            <v:rect style="position:absolute;left:1396;top:4244;width:1940;height:1620" filled="true" fillcolor="#d6e3bc" stroked="false">
              <v:fill opacity="58853f" type="solid"/>
            </v:rect>
            <v:rect style="position:absolute;left:1396;top:4244;width:1940;height:1620" filled="false" stroked="true" strokeweight="1pt" strokecolor="#ffffff">
              <v:stroke dashstyle="solid"/>
            </v:rect>
            <v:shape style="position:absolute;left:3396;top:4520;width:1503;height:529" coordorigin="3396,4520" coordsize="1503,529" path="m3396,5048l4759,5027,4899,4520e" filled="false" stroked="true" strokeweight="1pt" strokecolor="#ffffff">
              <v:path arrowok="t"/>
              <v:stroke dashstyle="solid"/>
            </v:shape>
            <v:shape style="position:absolute;left:1406;top:4325;width:1920;height:1457" type="#_x0000_t75" stroked="false">
              <v:imagedata r:id="rId26" o:title=""/>
            </v:shape>
            <v:rect style="position:absolute;left:1396;top:1737;width:1940;height:1530" filled="true" fillcolor="#d6e3bc" stroked="false">
              <v:fill opacity="58853f" type="solid"/>
            </v:rect>
            <v:rect style="position:absolute;left:1396;top:1737;width:1940;height:1530" filled="false" stroked="true" strokeweight="1pt" strokecolor="#ffffff">
              <v:stroke dashstyle="solid"/>
            </v:rect>
            <v:shape style="position:absolute;left:2353;top:3209;width:562;height:871" coordorigin="2354,3210" coordsize="562,871" path="m2354,3210l2710,4080,2916,4049e" filled="false" stroked="true" strokeweight="1pt" strokecolor="#ffffff">
              <v:path arrowok="t"/>
              <v:stroke dashstyle="solid"/>
            </v:shape>
            <v:shape style="position:absolute;left:1406;top:1819;width:1920;height:1366" type="#_x0000_t75" stroked="false">
              <v:imagedata r:id="rId27" o:title=""/>
            </v:shape>
            <v:shape style="position:absolute;left:4891;top:1900;width:588;height:794" coordorigin="4892,1900" coordsize="588,794" path="m4904,1900l4892,2399,5479,2693e" filled="false" stroked="true" strokeweight="1pt" strokecolor="#ffffff">
              <v:path arrowok="t"/>
              <v:stroke dashstyle="solid"/>
            </v:shape>
            <v:shape style="position:absolute;left:3903;top:390;width:1960;height:1434" type="#_x0000_t75" stroked="false">
              <v:imagedata r:id="rId28" o:title=""/>
            </v:shape>
            <v:shape style="position:absolute;left:8806;top:5453;width:1156;height:329" coordorigin="8806,5453" coordsize="1156,329" path="m9962,5782l9726,5545,8806,5453e" filled="false" stroked="true" strokeweight="1pt" strokecolor="#ffffff">
              <v:path arrowok="t"/>
              <v:stroke dashstyle="solid"/>
            </v:shape>
            <v:shape style="position:absolute;left:9067;top:5854;width:1953;height:1880" type="#_x0000_t75" stroked="false">
              <v:imagedata r:id="rId29" o:title=""/>
            </v:shape>
            <v:rect style="position:absolute;left:9110;top:3602;width:1933;height:1647" filled="true" fillcolor="#d6e3bc" stroked="false">
              <v:fill opacity="58853f" type="solid"/>
            </v:rect>
            <v:rect style="position:absolute;left:9110;top:3602;width:1933;height:1647" filled="false" stroked="true" strokeweight="1pt" strokecolor="#ffffff">
              <v:stroke dashstyle="solid"/>
            </v:rect>
            <v:shape style="position:absolute;left:6898;top:3156;width:2136;height:1263" coordorigin="6899,3157" coordsize="2136,1263" path="m9034,4420l8434,4407,6899,3157e" filled="false" stroked="true" strokeweight="1pt" strokecolor="#ffffff">
              <v:path arrowok="t"/>
              <v:stroke dashstyle="solid"/>
            </v:shape>
            <v:shape style="position:absolute;left:9120;top:3684;width:1913;height:1484" type="#_x0000_t75" stroked="false">
              <v:imagedata r:id="rId30" o:title=""/>
            </v:shape>
            <v:rect style="position:absolute;left:9124;top:1108;width:1933;height:1622" filled="true" fillcolor="#d6e3bc" stroked="false">
              <v:fill opacity="58853f" type="solid"/>
            </v:rect>
            <v:rect style="position:absolute;left:9124;top:1108;width:1933;height:1622" filled="false" stroked="true" strokeweight="1pt" strokecolor="#ffffff">
              <v:stroke dashstyle="solid"/>
            </v:rect>
            <v:shape style="position:absolute;left:8070;top:1911;width:978;height:1303" coordorigin="8070,1911" coordsize="978,1303" path="m9048,1914l8640,1911,8070,3214e" filled="false" stroked="true" strokeweight="1pt" strokecolor="#ffffff">
              <v:path arrowok="t"/>
              <v:stroke dashstyle="solid"/>
            </v:shape>
            <v:shape style="position:absolute;left:9134;top:1190;width:1913;height:1457" type="#_x0000_t75" stroked="false">
              <v:imagedata r:id="rId31" o:title=""/>
            </v:shape>
            <v:rect style="position:absolute;left:6497;top:399;width:1933;height:1414" filled="true" fillcolor="#d6e3bc" stroked="false">
              <v:fill opacity="58853f" type="solid"/>
            </v:rect>
            <v:rect style="position:absolute;left:6497;top:399;width:1933;height:1414" filled="false" stroked="true" strokeweight="1pt" strokecolor="#ffffff">
              <v:stroke dashstyle="solid"/>
            </v:rect>
            <v:shape style="position:absolute;left:5201;top:1783;width:2247;height:2467" coordorigin="5201,1783" coordsize="2247,2467" path="m7447,1783l7407,2059,5201,4250e" filled="false" stroked="true" strokeweight="1.0pt" strokecolor="#ffffff">
              <v:path arrowok="t"/>
              <v:stroke dashstyle="solid"/>
            </v:shape>
            <v:shape style="position:absolute;left:6508;top:482;width:1911;height:1251" type="#_x0000_t75" stroked="false">
              <v:imagedata r:id="rId32" o:title=""/>
            </v:shape>
            <v:shape style="position:absolute;left:4032;top:4432;width:127;height:120" type="#_x0000_t75" stroked="false">
              <v:imagedata r:id="rId33" o:title=""/>
            </v:shape>
            <v:shape style="position:absolute;left:4843;top:3985;width:117;height:120" type="#_x0000_t75" stroked="false">
              <v:imagedata r:id="rId34" o:title=""/>
            </v:shape>
            <v:shape style="position:absolute;left:4271;top:4657;width:117;height:120" type="#_x0000_t75" stroked="false">
              <v:imagedata r:id="rId35" o:title=""/>
            </v:shape>
            <v:shape style="position:absolute;left:4956;top:3112;width:117;height:120" type="#_x0000_t75" stroked="false">
              <v:imagedata r:id="rId36" o:title=""/>
            </v:shape>
            <v:shape style="position:absolute;left:5136;top:3406;width:117;height:120" type="#_x0000_t75" stroked="false">
              <v:imagedata r:id="rId37" o:title=""/>
            </v:shape>
            <v:shape style="position:absolute;left:4586;top:3157;width:117;height:120" type="#_x0000_t75" stroked="false">
              <v:imagedata r:id="rId38" o:title=""/>
            </v:shape>
            <v:shape style="position:absolute;left:5843;top:2817;width:117;height:120" type="#_x0000_t75" stroked="false">
              <v:imagedata r:id="rId39" o:title=""/>
            </v:shape>
            <v:rect style="position:absolute;left:5288;top:6409;width:2500;height:932" filled="true" fillcolor="#ffffff" stroked="false">
              <v:fill opacity="52428f" type="solid"/>
            </v:rect>
            <v:shape style="position:absolute;left:5359;top:7104;width:137;height:128" type="#_x0000_t75" stroked="false">
              <v:imagedata r:id="rId40" o:title=""/>
            </v:shape>
            <v:shape style="position:absolute;left:5352;top:6577;width:137;height:128" type="#_x0000_t75" stroked="false">
              <v:imagedata r:id="rId41" o:title=""/>
            </v:shape>
            <v:shape style="position:absolute;left:5352;top:6835;width:137;height:128" type="#_x0000_t75" stroked="false">
              <v:imagedata r:id="rId42" o:title=""/>
            </v:shape>
            <v:shape style="position:absolute;left:5412;top:6689;width:2168;height:399" type="#_x0000_t75" stroked="false">
              <v:imagedata r:id="rId43" o:title=""/>
            </v:shape>
            <v:shape style="position:absolute;left:5412;top:6432;width:2168;height:399" type="#_x0000_t75" stroked="false">
              <v:imagedata r:id="rId43" o:title=""/>
            </v:shape>
            <v:shape style="position:absolute;left:5402;top:6946;width:2170;height:396" type="#_x0000_t75" stroked="false">
              <v:imagedata r:id="rId44" o:title=""/>
            </v:shape>
            <v:shape style="position:absolute;left:8668;top:5363;width:137;height:130" type="#_x0000_t75" stroked="false">
              <v:imagedata r:id="rId45" o:title=""/>
            </v:shape>
            <v:shape style="position:absolute;left:6933;top:6732;width:1008;height:572" type="#_x0000_t75" stroked="false">
              <v:imagedata r:id="rId46" o:title=""/>
            </v:shape>
            <v:shape style="position:absolute;left:4069;top:596;width:1503;height:1018" type="#_x0000_t202" filled="false" stroked="false">
              <v:textbox inset="0,0,0,0">
                <w:txbxContent>
                  <w:p>
                    <w:pPr>
                      <w:spacing w:line="203" w:lineRule="exact" w:before="0"/>
                      <w:ind w:left="0" w:right="0" w:firstLine="0"/>
                      <w:jc w:val="left"/>
                      <w:rPr>
                        <w:rFonts w:ascii="Verdana" w:hAnsi="Verdana"/>
                        <w:b/>
                        <w:sz w:val="17"/>
                      </w:rPr>
                    </w:pPr>
                    <w:r>
                      <w:rPr>
                        <w:rFonts w:ascii="Verdana" w:hAnsi="Verdana"/>
                        <w:b/>
                        <w:w w:val="65"/>
                        <w:sz w:val="17"/>
                      </w:rPr>
                      <w:t>BARRAGEM BARNABÈ I</w:t>
                    </w:r>
                  </w:p>
                  <w:p>
                    <w:pPr>
                      <w:spacing w:line="235" w:lineRule="auto" w:before="1"/>
                      <w:ind w:left="0" w:right="144" w:firstLine="0"/>
                      <w:jc w:val="left"/>
                      <w:rPr>
                        <w:rFonts w:ascii="Verdana"/>
                        <w:sz w:val="17"/>
                      </w:rPr>
                    </w:pPr>
                    <w:r>
                      <w:rPr>
                        <w:rFonts w:ascii="Verdana"/>
                        <w:w w:val="56"/>
                        <w:sz w:val="17"/>
                      </w:rPr>
                      <w:t>E</w:t>
                    </w:r>
                    <w:r>
                      <w:rPr>
                        <w:rFonts w:ascii="Verdana"/>
                        <w:w w:val="60"/>
                        <w:sz w:val="17"/>
                      </w:rPr>
                      <w:t>m</w:t>
                    </w:r>
                    <w:r>
                      <w:rPr>
                        <w:rFonts w:ascii="Verdana"/>
                        <w:w w:val="60"/>
                        <w:sz w:val="17"/>
                      </w:rPr>
                      <w:t>p</w:t>
                    </w:r>
                    <w:r>
                      <w:rPr>
                        <w:rFonts w:ascii="Verdana"/>
                        <w:w w:val="77"/>
                        <w:sz w:val="17"/>
                      </w:rPr>
                      <w:t>r</w:t>
                    </w:r>
                    <w:r>
                      <w:rPr>
                        <w:rFonts w:ascii="Verdana"/>
                        <w:w w:val="62"/>
                        <w:sz w:val="17"/>
                      </w:rPr>
                      <w:t>e</w:t>
                    </w:r>
                    <w:r>
                      <w:rPr>
                        <w:rFonts w:ascii="Verdana"/>
                        <w:w w:val="69"/>
                        <w:sz w:val="17"/>
                      </w:rPr>
                      <w:t>s</w:t>
                    </w:r>
                    <w:r>
                      <w:rPr>
                        <w:rFonts w:ascii="Verdana"/>
                        <w:w w:val="62"/>
                        <w:sz w:val="17"/>
                      </w:rPr>
                      <w:t>a</w:t>
                    </w:r>
                    <w:r>
                      <w:rPr>
                        <w:rFonts w:ascii="Verdana"/>
                        <w:w w:val="36"/>
                        <w:sz w:val="17"/>
                      </w:rPr>
                      <w:t>:</w:t>
                    </w:r>
                    <w:r>
                      <w:rPr>
                        <w:rFonts w:ascii="Verdana"/>
                        <w:sz w:val="17"/>
                      </w:rPr>
                      <w:t> </w:t>
                    </w:r>
                    <w:r>
                      <w:rPr>
                        <w:rFonts w:ascii="Verdana"/>
                        <w:w w:val="57"/>
                        <w:sz w:val="17"/>
                      </w:rPr>
                      <w:t>V</w:t>
                    </w:r>
                    <w:r>
                      <w:rPr>
                        <w:rFonts w:ascii="Verdana"/>
                        <w:w w:val="58"/>
                        <w:sz w:val="17"/>
                      </w:rPr>
                      <w:t>A</w:t>
                    </w:r>
                    <w:r>
                      <w:rPr>
                        <w:rFonts w:ascii="Verdana"/>
                        <w:w w:val="60"/>
                        <w:sz w:val="17"/>
                      </w:rPr>
                      <w:t>L</w:t>
                    </w:r>
                    <w:r>
                      <w:rPr>
                        <w:rFonts w:ascii="Verdana"/>
                        <w:w w:val="56"/>
                        <w:sz w:val="17"/>
                      </w:rPr>
                      <w:t>E</w:t>
                    </w:r>
                    <w:r>
                      <w:rPr>
                        <w:rFonts w:ascii="Verdana"/>
                        <w:sz w:val="17"/>
                      </w:rPr>
                      <w:t> </w:t>
                    </w:r>
                    <w:r>
                      <w:rPr>
                        <w:rFonts w:ascii="Verdana"/>
                        <w:w w:val="61"/>
                        <w:sz w:val="17"/>
                      </w:rPr>
                      <w:t>S</w:t>
                    </w:r>
                    <w:r>
                      <w:rPr>
                        <w:rFonts w:ascii="Verdana"/>
                        <w:w w:val="95"/>
                        <w:sz w:val="17"/>
                      </w:rPr>
                      <w:t>/</w:t>
                    </w:r>
                    <w:r>
                      <w:rPr>
                        <w:rFonts w:ascii="Verdana"/>
                        <w:w w:val="58"/>
                        <w:sz w:val="17"/>
                      </w:rPr>
                      <w:t>A </w:t>
                    </w:r>
                    <w:r>
                      <w:rPr>
                        <w:rFonts w:ascii="Verdana"/>
                        <w:b/>
                        <w:w w:val="60"/>
                        <w:sz w:val="17"/>
                      </w:rPr>
                      <w:t>Dano potencial: ALTO </w:t>
                    </w:r>
                    <w:r>
                      <w:rPr>
                        <w:rFonts w:ascii="Verdana"/>
                        <w:w w:val="70"/>
                        <w:sz w:val="17"/>
                      </w:rPr>
                      <w:t>Classe: B</w:t>
                    </w:r>
                  </w:p>
                  <w:p>
                    <w:pPr>
                      <w:spacing w:line="205" w:lineRule="exact" w:before="1"/>
                      <w:ind w:left="0" w:right="0" w:firstLine="0"/>
                      <w:jc w:val="left"/>
                      <w:rPr>
                        <w:rFonts w:ascii="Verdana"/>
                        <w:b/>
                        <w:sz w:val="17"/>
                      </w:rPr>
                    </w:pPr>
                    <w:r>
                      <w:rPr>
                        <w:rFonts w:ascii="Verdana"/>
                        <w:b/>
                        <w:w w:val="60"/>
                        <w:sz w:val="17"/>
                      </w:rPr>
                      <w:t>Categoria de risco: BAIXO</w:t>
                    </w:r>
                  </w:p>
                </w:txbxContent>
              </v:textbox>
              <w10:wrap type="none"/>
            </v:shape>
            <v:shape style="position:absolute;left:1550;top:1991;width:1503;height:1016" type="#_x0000_t202" filled="false" stroked="false">
              <v:textbox inset="0,0,0,0">
                <w:txbxContent>
                  <w:p>
                    <w:pPr>
                      <w:spacing w:line="235" w:lineRule="auto" w:before="2"/>
                      <w:ind w:left="0" w:right="36" w:firstLine="0"/>
                      <w:jc w:val="left"/>
                      <w:rPr>
                        <w:rFonts w:ascii="Verdana" w:hAnsi="Verdana"/>
                        <w:sz w:val="17"/>
                      </w:rPr>
                    </w:pPr>
                    <w:r>
                      <w:rPr>
                        <w:rFonts w:ascii="Verdana" w:hAnsi="Verdana"/>
                        <w:b/>
                        <w:w w:val="65"/>
                        <w:sz w:val="17"/>
                      </w:rPr>
                      <w:t>DIQUE DO ESMERIL IV </w:t>
                    </w:r>
                    <w:r>
                      <w:rPr>
                        <w:rFonts w:ascii="Verdana" w:hAnsi="Verdana"/>
                        <w:w w:val="56"/>
                        <w:sz w:val="17"/>
                      </w:rPr>
                      <w:t>E</w:t>
                    </w:r>
                    <w:r>
                      <w:rPr>
                        <w:rFonts w:ascii="Verdana" w:hAnsi="Verdana"/>
                        <w:w w:val="60"/>
                        <w:sz w:val="17"/>
                      </w:rPr>
                      <w:t>m</w:t>
                    </w:r>
                    <w:r>
                      <w:rPr>
                        <w:rFonts w:ascii="Verdana" w:hAnsi="Verdana"/>
                        <w:w w:val="60"/>
                        <w:sz w:val="17"/>
                      </w:rPr>
                      <w:t>p</w:t>
                    </w:r>
                    <w:r>
                      <w:rPr>
                        <w:rFonts w:ascii="Verdana" w:hAnsi="Verdana"/>
                        <w:w w:val="77"/>
                        <w:sz w:val="17"/>
                      </w:rPr>
                      <w:t>r</w:t>
                    </w:r>
                    <w:r>
                      <w:rPr>
                        <w:rFonts w:ascii="Verdana" w:hAnsi="Verdana"/>
                        <w:w w:val="62"/>
                        <w:sz w:val="17"/>
                      </w:rPr>
                      <w:t>e</w:t>
                    </w:r>
                    <w:r>
                      <w:rPr>
                        <w:rFonts w:ascii="Verdana" w:hAnsi="Verdana"/>
                        <w:w w:val="69"/>
                        <w:sz w:val="17"/>
                      </w:rPr>
                      <w:t>s</w:t>
                    </w:r>
                    <w:r>
                      <w:rPr>
                        <w:rFonts w:ascii="Verdana" w:hAnsi="Verdana"/>
                        <w:w w:val="62"/>
                        <w:sz w:val="17"/>
                      </w:rPr>
                      <w:t>a</w:t>
                    </w:r>
                    <w:r>
                      <w:rPr>
                        <w:rFonts w:ascii="Verdana" w:hAnsi="Verdana"/>
                        <w:w w:val="36"/>
                        <w:sz w:val="17"/>
                      </w:rPr>
                      <w:t>:</w:t>
                    </w:r>
                    <w:r>
                      <w:rPr>
                        <w:rFonts w:ascii="Verdana" w:hAnsi="Verdana"/>
                        <w:sz w:val="17"/>
                      </w:rPr>
                      <w:t> </w:t>
                    </w:r>
                    <w:r>
                      <w:rPr>
                        <w:rFonts w:ascii="Verdana" w:hAnsi="Verdana"/>
                        <w:w w:val="60"/>
                        <w:sz w:val="17"/>
                      </w:rPr>
                      <w:t>C</w:t>
                    </w:r>
                    <w:r>
                      <w:rPr>
                        <w:rFonts w:ascii="Verdana" w:hAnsi="Verdana"/>
                        <w:w w:val="61"/>
                        <w:sz w:val="17"/>
                      </w:rPr>
                      <w:t>S</w:t>
                    </w:r>
                    <w:r>
                      <w:rPr>
                        <w:rFonts w:ascii="Verdana" w:hAnsi="Verdana"/>
                        <w:w w:val="58"/>
                        <w:sz w:val="17"/>
                      </w:rPr>
                      <w:t>N</w:t>
                    </w:r>
                    <w:r>
                      <w:rPr>
                        <w:rFonts w:ascii="Verdana" w:hAnsi="Verdana"/>
                        <w:sz w:val="17"/>
                      </w:rPr>
                      <w:t> </w:t>
                    </w:r>
                    <w:r>
                      <w:rPr>
                        <w:rFonts w:ascii="Verdana" w:hAnsi="Verdana"/>
                        <w:w w:val="59"/>
                        <w:sz w:val="17"/>
                      </w:rPr>
                      <w:t>M</w:t>
                    </w:r>
                    <w:r>
                      <w:rPr>
                        <w:rFonts w:ascii="Verdana" w:hAnsi="Verdana"/>
                        <w:w w:val="54"/>
                        <w:sz w:val="17"/>
                      </w:rPr>
                      <w:t>IN</w:t>
                    </w:r>
                    <w:r>
                      <w:rPr>
                        <w:rFonts w:ascii="Verdana" w:hAnsi="Verdana"/>
                        <w:w w:val="56"/>
                        <w:sz w:val="17"/>
                      </w:rPr>
                      <w:t>E</w:t>
                    </w:r>
                    <w:r>
                      <w:rPr>
                        <w:rFonts w:ascii="Verdana" w:hAnsi="Verdana"/>
                        <w:w w:val="61"/>
                        <w:sz w:val="17"/>
                      </w:rPr>
                      <w:t>R</w:t>
                    </w:r>
                    <w:r>
                      <w:rPr>
                        <w:rFonts w:ascii="Verdana" w:hAnsi="Verdana"/>
                        <w:w w:val="58"/>
                        <w:sz w:val="17"/>
                      </w:rPr>
                      <w:t>A</w:t>
                    </w:r>
                    <w:r>
                      <w:rPr>
                        <w:rFonts w:ascii="Verdana" w:hAnsi="Verdana"/>
                        <w:w w:val="60"/>
                        <w:sz w:val="17"/>
                      </w:rPr>
                      <w:t>Ç</w:t>
                    </w:r>
                    <w:r>
                      <w:rPr>
                        <w:rFonts w:ascii="Verdana" w:hAnsi="Verdana"/>
                        <w:w w:val="58"/>
                        <w:sz w:val="17"/>
                      </w:rPr>
                      <w:t>Ã</w:t>
                    </w:r>
                    <w:r>
                      <w:rPr>
                        <w:rFonts w:ascii="Verdana" w:hAnsi="Verdana"/>
                        <w:w w:val="56"/>
                        <w:sz w:val="17"/>
                      </w:rPr>
                      <w:t>O </w:t>
                    </w:r>
                    <w:r>
                      <w:rPr>
                        <w:rFonts w:ascii="Verdana" w:hAnsi="Verdana"/>
                        <w:b/>
                        <w:w w:val="65"/>
                        <w:sz w:val="17"/>
                      </w:rPr>
                      <w:t>Dano potencial: ALTO </w:t>
                    </w:r>
                    <w:r>
                      <w:rPr>
                        <w:rFonts w:ascii="Verdana" w:hAnsi="Verdana"/>
                        <w:w w:val="70"/>
                        <w:sz w:val="17"/>
                      </w:rPr>
                      <w:t>Classe: C</w:t>
                    </w:r>
                  </w:p>
                  <w:p>
                    <w:pPr>
                      <w:spacing w:line="203" w:lineRule="exact" w:before="0"/>
                      <w:ind w:left="0" w:right="0" w:firstLine="0"/>
                      <w:jc w:val="left"/>
                      <w:rPr>
                        <w:rFonts w:ascii="Verdana"/>
                        <w:b/>
                        <w:sz w:val="17"/>
                      </w:rPr>
                    </w:pPr>
                    <w:r>
                      <w:rPr>
                        <w:rFonts w:ascii="Verdana"/>
                        <w:b/>
                        <w:w w:val="60"/>
                        <w:sz w:val="17"/>
                      </w:rPr>
                      <w:t>Categoria de risco: BAIXO</w:t>
                    </w:r>
                  </w:p>
                </w:txbxContent>
              </v:textbox>
              <w10:wrap type="none"/>
            </v:shape>
            <v:shape style="position:absolute;left:5547;top:6528;width:2099;height:750" type="#_x0000_t202" filled="false" stroked="false">
              <v:textbox inset="0,0,0,0">
                <w:txbxContent>
                  <w:p>
                    <w:pPr>
                      <w:spacing w:line="238" w:lineRule="exact" w:before="0"/>
                      <w:ind w:left="9" w:right="0" w:firstLine="0"/>
                      <w:jc w:val="left"/>
                      <w:rPr>
                        <w:rFonts w:ascii="Verdana" w:hAnsi="Verdana"/>
                        <w:sz w:val="20"/>
                      </w:rPr>
                    </w:pPr>
                    <w:r>
                      <w:rPr>
                        <w:rFonts w:ascii="Verdana" w:hAnsi="Verdana"/>
                        <w:w w:val="70"/>
                        <w:sz w:val="20"/>
                        <w:u w:val="single"/>
                      </w:rPr>
                      <w:t>Não</w:t>
                    </w:r>
                    <w:r>
                      <w:rPr>
                        <w:rFonts w:ascii="Verdana" w:hAnsi="Verdana"/>
                        <w:w w:val="70"/>
                        <w:sz w:val="20"/>
                      </w:rPr>
                      <w:t> inseridas no PNBM</w:t>
                    </w:r>
                  </w:p>
                  <w:p>
                    <w:pPr>
                      <w:spacing w:line="189" w:lineRule="exact" w:before="16"/>
                      <w:ind w:left="9" w:right="0" w:firstLine="0"/>
                      <w:jc w:val="left"/>
                      <w:rPr>
                        <w:rFonts w:ascii="Verdana"/>
                        <w:sz w:val="20"/>
                      </w:rPr>
                    </w:pPr>
                    <w:r>
                      <w:rPr>
                        <w:rFonts w:ascii="Verdana"/>
                        <w:w w:val="70"/>
                        <w:sz w:val="20"/>
                      </w:rPr>
                      <w:t>Inseridas no PNBM</w:t>
                    </w:r>
                  </w:p>
                  <w:p>
                    <w:pPr>
                      <w:tabs>
                        <w:tab w:pos="1531" w:val="left" w:leader="none"/>
                      </w:tabs>
                      <w:spacing w:line="307" w:lineRule="exact" w:before="0"/>
                      <w:ind w:left="0" w:right="0" w:firstLine="0"/>
                      <w:jc w:val="left"/>
                      <w:rPr>
                        <w:rFonts w:ascii="Verdana" w:hAnsi="Verdana"/>
                        <w:sz w:val="20"/>
                      </w:rPr>
                    </w:pPr>
                    <w:r>
                      <w:rPr>
                        <w:rFonts w:ascii="Verdana" w:hAnsi="Verdana"/>
                        <w:w w:val="70"/>
                        <w:sz w:val="20"/>
                      </w:rPr>
                      <w:t>Barragens</w:t>
                    </w:r>
                    <w:r>
                      <w:rPr>
                        <w:rFonts w:ascii="Verdana" w:hAnsi="Verdana"/>
                        <w:spacing w:val="-29"/>
                        <w:w w:val="70"/>
                        <w:sz w:val="20"/>
                      </w:rPr>
                      <w:t> </w:t>
                    </w:r>
                    <w:r>
                      <w:rPr>
                        <w:rFonts w:ascii="Verdana" w:hAnsi="Verdana"/>
                        <w:w w:val="70"/>
                        <w:sz w:val="20"/>
                      </w:rPr>
                      <w:t>Água</w:t>
                      <w:tab/>
                    </w:r>
                    <w:r>
                      <w:rPr>
                        <w:rFonts w:ascii="Verdana" w:hAnsi="Verdana"/>
                        <w:w w:val="55"/>
                        <w:position w:val="12"/>
                        <w:sz w:val="20"/>
                        <w:u w:val="single"/>
                      </w:rPr>
                      <w:t>LEGENDA</w:t>
                    </w:r>
                  </w:p>
                </w:txbxContent>
              </v:textbox>
              <w10:wrap type="none"/>
            </v:shape>
            <v:shape style="position:absolute;left:9234;top:6184;width:1608;height:1220" type="#_x0000_t202" filled="false" stroked="false">
              <v:textbox inset="0,0,0,0">
                <w:txbxContent>
                  <w:p>
                    <w:pPr>
                      <w:spacing w:line="202" w:lineRule="exact" w:before="0"/>
                      <w:ind w:left="0" w:right="0" w:firstLine="0"/>
                      <w:jc w:val="left"/>
                      <w:rPr>
                        <w:rFonts w:ascii="Verdana"/>
                        <w:b/>
                        <w:sz w:val="17"/>
                      </w:rPr>
                    </w:pPr>
                    <w:r>
                      <w:rPr>
                        <w:rFonts w:ascii="Verdana"/>
                        <w:b/>
                        <w:w w:val="60"/>
                        <w:sz w:val="17"/>
                      </w:rPr>
                      <w:t>BARRAGEM</w:t>
                    </w:r>
                    <w:r>
                      <w:rPr>
                        <w:rFonts w:ascii="Verdana"/>
                        <w:b/>
                        <w:spacing w:val="-21"/>
                        <w:w w:val="60"/>
                        <w:sz w:val="17"/>
                      </w:rPr>
                      <w:t> </w:t>
                    </w:r>
                    <w:r>
                      <w:rPr>
                        <w:rFonts w:ascii="Verdana"/>
                        <w:b/>
                        <w:w w:val="60"/>
                        <w:sz w:val="17"/>
                      </w:rPr>
                      <w:t>LAGO</w:t>
                    </w:r>
                    <w:r>
                      <w:rPr>
                        <w:rFonts w:ascii="Verdana"/>
                        <w:b/>
                        <w:spacing w:val="-22"/>
                        <w:w w:val="60"/>
                        <w:sz w:val="17"/>
                      </w:rPr>
                      <w:t> </w:t>
                    </w:r>
                    <w:r>
                      <w:rPr>
                        <w:rFonts w:ascii="Verdana"/>
                        <w:b/>
                        <w:w w:val="60"/>
                        <w:sz w:val="17"/>
                      </w:rPr>
                      <w:t>SOLEDADE</w:t>
                    </w:r>
                  </w:p>
                  <w:p>
                    <w:pPr>
                      <w:spacing w:line="200" w:lineRule="exact" w:before="0"/>
                      <w:ind w:left="0" w:right="0" w:firstLine="0"/>
                      <w:jc w:val="left"/>
                      <w:rPr>
                        <w:rFonts w:ascii="Verdana" w:hAnsi="Verdana"/>
                        <w:sz w:val="17"/>
                      </w:rPr>
                    </w:pPr>
                    <w:r>
                      <w:rPr>
                        <w:rFonts w:ascii="Verdana" w:hAnsi="Verdana"/>
                        <w:w w:val="70"/>
                        <w:sz w:val="17"/>
                      </w:rPr>
                      <w:t>(Água)</w:t>
                    </w:r>
                  </w:p>
                  <w:p>
                    <w:pPr>
                      <w:spacing w:line="203" w:lineRule="exact" w:before="0"/>
                      <w:ind w:left="0" w:right="0" w:firstLine="0"/>
                      <w:jc w:val="left"/>
                      <w:rPr>
                        <w:rFonts w:ascii="Verdana" w:hAnsi="Verdana"/>
                        <w:sz w:val="17"/>
                      </w:rPr>
                    </w:pPr>
                    <w:r>
                      <w:rPr>
                        <w:rFonts w:ascii="Verdana" w:hAnsi="Verdana"/>
                        <w:spacing w:val="-1"/>
                        <w:w w:val="56"/>
                        <w:sz w:val="17"/>
                      </w:rPr>
                      <w:t>E</w:t>
                    </w:r>
                    <w:r>
                      <w:rPr>
                        <w:rFonts w:ascii="Verdana" w:hAnsi="Verdana"/>
                        <w:spacing w:val="1"/>
                        <w:w w:val="60"/>
                        <w:sz w:val="17"/>
                      </w:rPr>
                      <w:t>m</w:t>
                    </w:r>
                    <w:r>
                      <w:rPr>
                        <w:rFonts w:ascii="Verdana" w:hAnsi="Verdana"/>
                        <w:w w:val="60"/>
                        <w:sz w:val="17"/>
                      </w:rPr>
                      <w:t>p</w:t>
                    </w:r>
                    <w:r>
                      <w:rPr>
                        <w:rFonts w:ascii="Verdana" w:hAnsi="Verdana"/>
                        <w:spacing w:val="-2"/>
                        <w:w w:val="77"/>
                        <w:sz w:val="17"/>
                      </w:rPr>
                      <w:t>r</w:t>
                    </w:r>
                    <w:r>
                      <w:rPr>
                        <w:rFonts w:ascii="Verdana" w:hAnsi="Verdana"/>
                        <w:spacing w:val="-2"/>
                        <w:w w:val="62"/>
                        <w:sz w:val="17"/>
                      </w:rPr>
                      <w:t>e</w:t>
                    </w:r>
                    <w:r>
                      <w:rPr>
                        <w:rFonts w:ascii="Verdana" w:hAnsi="Verdana"/>
                        <w:spacing w:val="1"/>
                        <w:w w:val="69"/>
                        <w:sz w:val="17"/>
                      </w:rPr>
                      <w:t>s</w:t>
                    </w:r>
                    <w:r>
                      <w:rPr>
                        <w:rFonts w:ascii="Verdana" w:hAnsi="Verdana"/>
                        <w:spacing w:val="3"/>
                        <w:w w:val="62"/>
                        <w:sz w:val="17"/>
                      </w:rPr>
                      <w:t>a</w:t>
                    </w:r>
                    <w:r>
                      <w:rPr>
                        <w:rFonts w:ascii="Verdana" w:hAnsi="Verdana"/>
                        <w:w w:val="36"/>
                        <w:sz w:val="17"/>
                      </w:rPr>
                      <w:t>:</w:t>
                    </w:r>
                    <w:r>
                      <w:rPr>
                        <w:rFonts w:ascii="Verdana" w:hAnsi="Verdana"/>
                        <w:spacing w:val="-28"/>
                        <w:sz w:val="17"/>
                      </w:rPr>
                      <w:t> </w:t>
                    </w:r>
                    <w:r>
                      <w:rPr>
                        <w:rFonts w:ascii="Verdana" w:hAnsi="Verdana"/>
                        <w:spacing w:val="-2"/>
                        <w:w w:val="55"/>
                        <w:sz w:val="17"/>
                      </w:rPr>
                      <w:t>G</w:t>
                    </w:r>
                    <w:r>
                      <w:rPr>
                        <w:rFonts w:ascii="Verdana" w:hAnsi="Verdana"/>
                        <w:spacing w:val="-1"/>
                        <w:w w:val="56"/>
                        <w:sz w:val="17"/>
                      </w:rPr>
                      <w:t>E</w:t>
                    </w:r>
                    <w:r>
                      <w:rPr>
                        <w:rFonts w:ascii="Verdana" w:hAnsi="Verdana"/>
                        <w:spacing w:val="-1"/>
                        <w:w w:val="61"/>
                        <w:sz w:val="17"/>
                      </w:rPr>
                      <w:t>R</w:t>
                    </w:r>
                    <w:r>
                      <w:rPr>
                        <w:rFonts w:ascii="Verdana" w:hAnsi="Verdana"/>
                        <w:spacing w:val="-5"/>
                        <w:w w:val="56"/>
                        <w:sz w:val="17"/>
                      </w:rPr>
                      <w:t>D</w:t>
                    </w:r>
                    <w:r>
                      <w:rPr>
                        <w:rFonts w:ascii="Verdana" w:hAnsi="Verdana"/>
                        <w:spacing w:val="6"/>
                        <w:w w:val="58"/>
                        <w:sz w:val="17"/>
                      </w:rPr>
                      <w:t>A</w:t>
                    </w:r>
                    <w:r>
                      <w:rPr>
                        <w:rFonts w:ascii="Verdana" w:hAnsi="Verdana"/>
                        <w:w w:val="60"/>
                        <w:sz w:val="17"/>
                      </w:rPr>
                      <w:t>U</w:t>
                    </w:r>
                    <w:r>
                      <w:rPr>
                        <w:rFonts w:ascii="Verdana" w:hAnsi="Verdana"/>
                        <w:spacing w:val="-32"/>
                        <w:sz w:val="17"/>
                      </w:rPr>
                      <w:t> </w:t>
                    </w:r>
                    <w:r>
                      <w:rPr>
                        <w:rFonts w:ascii="Verdana" w:hAnsi="Verdana"/>
                        <w:spacing w:val="3"/>
                        <w:w w:val="58"/>
                        <w:sz w:val="17"/>
                      </w:rPr>
                      <w:t>A</w:t>
                    </w:r>
                    <w:r>
                      <w:rPr>
                        <w:rFonts w:ascii="Verdana" w:hAnsi="Verdana"/>
                        <w:w w:val="58"/>
                        <w:sz w:val="17"/>
                      </w:rPr>
                      <w:t>Ç</w:t>
                    </w:r>
                    <w:r>
                      <w:rPr>
                        <w:rFonts w:ascii="Verdana" w:hAnsi="Verdana"/>
                        <w:spacing w:val="-5"/>
                        <w:w w:val="58"/>
                        <w:sz w:val="17"/>
                      </w:rPr>
                      <w:t>O</w:t>
                    </w:r>
                    <w:r>
                      <w:rPr>
                        <w:rFonts w:ascii="Verdana" w:hAnsi="Verdana"/>
                        <w:spacing w:val="1"/>
                        <w:w w:val="59"/>
                        <w:sz w:val="17"/>
                      </w:rPr>
                      <w:t>M</w:t>
                    </w:r>
                    <w:r>
                      <w:rPr>
                        <w:rFonts w:ascii="Verdana" w:hAnsi="Verdana"/>
                        <w:spacing w:val="-1"/>
                        <w:w w:val="54"/>
                        <w:sz w:val="17"/>
                      </w:rPr>
                      <w:t>I</w:t>
                    </w:r>
                    <w:r>
                      <w:rPr>
                        <w:rFonts w:ascii="Verdana" w:hAnsi="Verdana"/>
                        <w:spacing w:val="-3"/>
                        <w:w w:val="54"/>
                        <w:sz w:val="17"/>
                      </w:rPr>
                      <w:t>N</w:t>
                    </w:r>
                    <w:r>
                      <w:rPr>
                        <w:rFonts w:ascii="Verdana" w:hAnsi="Verdana"/>
                        <w:spacing w:val="3"/>
                        <w:w w:val="58"/>
                        <w:sz w:val="17"/>
                      </w:rPr>
                      <w:t>A</w:t>
                    </w:r>
                    <w:r>
                      <w:rPr>
                        <w:rFonts w:ascii="Verdana" w:hAnsi="Verdana"/>
                        <w:w w:val="61"/>
                        <w:sz w:val="17"/>
                      </w:rPr>
                      <w:t>S</w:t>
                    </w:r>
                  </w:p>
                  <w:p>
                    <w:pPr>
                      <w:spacing w:line="203" w:lineRule="exact" w:before="0"/>
                      <w:ind w:left="0" w:right="0" w:firstLine="0"/>
                      <w:jc w:val="left"/>
                      <w:rPr>
                        <w:rFonts w:ascii="Verdana"/>
                        <w:b/>
                        <w:sz w:val="17"/>
                      </w:rPr>
                    </w:pPr>
                    <w:r>
                      <w:rPr>
                        <w:rFonts w:ascii="Verdana"/>
                        <w:b/>
                        <w:w w:val="70"/>
                        <w:sz w:val="17"/>
                      </w:rPr>
                      <w:t>Dano potencial: ALTO</w:t>
                    </w:r>
                  </w:p>
                  <w:p>
                    <w:pPr>
                      <w:spacing w:line="204" w:lineRule="exact" w:before="0"/>
                      <w:ind w:left="0" w:right="0" w:firstLine="0"/>
                      <w:jc w:val="left"/>
                      <w:rPr>
                        <w:rFonts w:ascii="Verdana"/>
                        <w:sz w:val="17"/>
                      </w:rPr>
                    </w:pPr>
                    <w:r>
                      <w:rPr>
                        <w:rFonts w:ascii="Verdana"/>
                        <w:w w:val="75"/>
                        <w:sz w:val="17"/>
                      </w:rPr>
                      <w:t>Classe: -</w:t>
                    </w:r>
                  </w:p>
                  <w:p>
                    <w:pPr>
                      <w:spacing w:line="205" w:lineRule="exact" w:before="2"/>
                      <w:ind w:left="0" w:right="0" w:firstLine="0"/>
                      <w:jc w:val="left"/>
                      <w:rPr>
                        <w:rFonts w:ascii="Verdana"/>
                        <w:b/>
                        <w:sz w:val="17"/>
                      </w:rPr>
                    </w:pPr>
                    <w:r>
                      <w:rPr>
                        <w:rFonts w:ascii="Verdana"/>
                        <w:b/>
                        <w:w w:val="65"/>
                        <w:sz w:val="17"/>
                      </w:rPr>
                      <w:t>Categoria</w:t>
                    </w:r>
                    <w:r>
                      <w:rPr>
                        <w:rFonts w:ascii="Verdana"/>
                        <w:b/>
                        <w:spacing w:val="-22"/>
                        <w:w w:val="65"/>
                        <w:sz w:val="17"/>
                      </w:rPr>
                      <w:t> </w:t>
                    </w:r>
                    <w:r>
                      <w:rPr>
                        <w:rFonts w:ascii="Verdana"/>
                        <w:b/>
                        <w:w w:val="65"/>
                        <w:sz w:val="17"/>
                      </w:rPr>
                      <w:t>de</w:t>
                    </w:r>
                    <w:r>
                      <w:rPr>
                        <w:rFonts w:ascii="Verdana"/>
                        <w:b/>
                        <w:spacing w:val="-22"/>
                        <w:w w:val="65"/>
                        <w:sz w:val="17"/>
                      </w:rPr>
                      <w:t> </w:t>
                    </w:r>
                    <w:r>
                      <w:rPr>
                        <w:rFonts w:ascii="Verdana"/>
                        <w:b/>
                        <w:w w:val="65"/>
                        <w:sz w:val="17"/>
                      </w:rPr>
                      <w:t>risco:</w:t>
                    </w:r>
                    <w:r>
                      <w:rPr>
                        <w:rFonts w:ascii="Verdana"/>
                        <w:b/>
                        <w:spacing w:val="-22"/>
                        <w:w w:val="65"/>
                        <w:sz w:val="17"/>
                      </w:rPr>
                      <w:t> </w:t>
                    </w:r>
                    <w:r>
                      <w:rPr>
                        <w:rFonts w:ascii="Verdana"/>
                        <w:b/>
                        <w:w w:val="65"/>
                        <w:sz w:val="17"/>
                      </w:rPr>
                      <w:t>BAIXO</w:t>
                    </w:r>
                  </w:p>
                </w:txbxContent>
              </v:textbox>
              <w10:wrap type="none"/>
            </v:shape>
            <v:shape style="position:absolute;left:1396;top:5952;width:1940;height:1772" type="#_x0000_t202" filled="false" stroked="false">
              <v:textbox inset="0,0,0,0">
                <w:txbxContent>
                  <w:p>
                    <w:pPr>
                      <w:spacing w:line="240" w:lineRule="auto" w:before="0"/>
                      <w:rPr>
                        <w:sz w:val="20"/>
                      </w:rPr>
                    </w:pPr>
                  </w:p>
                  <w:p>
                    <w:pPr>
                      <w:spacing w:line="235" w:lineRule="auto" w:before="148"/>
                      <w:ind w:left="154" w:right="14" w:firstLine="0"/>
                      <w:jc w:val="left"/>
                      <w:rPr>
                        <w:rFonts w:ascii="Verdana" w:hAnsi="Verdana"/>
                        <w:sz w:val="17"/>
                      </w:rPr>
                    </w:pPr>
                    <w:r>
                      <w:rPr>
                        <w:rFonts w:ascii="Verdana" w:hAnsi="Verdana"/>
                        <w:b/>
                        <w:w w:val="60"/>
                        <w:sz w:val="17"/>
                      </w:rPr>
                      <w:t>BARRAGEM CASA DE PEDRA </w:t>
                    </w:r>
                    <w:r>
                      <w:rPr>
                        <w:rFonts w:ascii="Verdana" w:hAnsi="Verdana"/>
                        <w:w w:val="56"/>
                        <w:sz w:val="17"/>
                      </w:rPr>
                      <w:t>E</w:t>
                    </w:r>
                    <w:r>
                      <w:rPr>
                        <w:rFonts w:ascii="Verdana" w:hAnsi="Verdana"/>
                        <w:w w:val="60"/>
                        <w:sz w:val="17"/>
                      </w:rPr>
                      <w:t>m</w:t>
                    </w:r>
                    <w:r>
                      <w:rPr>
                        <w:rFonts w:ascii="Verdana" w:hAnsi="Verdana"/>
                        <w:w w:val="60"/>
                        <w:sz w:val="17"/>
                      </w:rPr>
                      <w:t>p</w:t>
                    </w:r>
                    <w:r>
                      <w:rPr>
                        <w:rFonts w:ascii="Verdana" w:hAnsi="Verdana"/>
                        <w:w w:val="77"/>
                        <w:sz w:val="17"/>
                      </w:rPr>
                      <w:t>r</w:t>
                    </w:r>
                    <w:r>
                      <w:rPr>
                        <w:rFonts w:ascii="Verdana" w:hAnsi="Verdana"/>
                        <w:w w:val="62"/>
                        <w:sz w:val="17"/>
                      </w:rPr>
                      <w:t>e</w:t>
                    </w:r>
                    <w:r>
                      <w:rPr>
                        <w:rFonts w:ascii="Verdana" w:hAnsi="Verdana"/>
                        <w:w w:val="69"/>
                        <w:sz w:val="17"/>
                      </w:rPr>
                      <w:t>s</w:t>
                    </w:r>
                    <w:r>
                      <w:rPr>
                        <w:rFonts w:ascii="Verdana" w:hAnsi="Verdana"/>
                        <w:w w:val="62"/>
                        <w:sz w:val="17"/>
                      </w:rPr>
                      <w:t>a</w:t>
                    </w:r>
                    <w:r>
                      <w:rPr>
                        <w:rFonts w:ascii="Verdana" w:hAnsi="Verdana"/>
                        <w:w w:val="36"/>
                        <w:sz w:val="17"/>
                      </w:rPr>
                      <w:t>:</w:t>
                    </w:r>
                    <w:r>
                      <w:rPr>
                        <w:rFonts w:ascii="Verdana" w:hAnsi="Verdana"/>
                        <w:sz w:val="17"/>
                      </w:rPr>
                      <w:t> </w:t>
                    </w:r>
                    <w:r>
                      <w:rPr>
                        <w:rFonts w:ascii="Verdana" w:hAnsi="Verdana"/>
                        <w:w w:val="60"/>
                        <w:sz w:val="17"/>
                      </w:rPr>
                      <w:t>C</w:t>
                    </w:r>
                    <w:r>
                      <w:rPr>
                        <w:rFonts w:ascii="Verdana" w:hAnsi="Verdana"/>
                        <w:w w:val="61"/>
                        <w:sz w:val="17"/>
                      </w:rPr>
                      <w:t>S</w:t>
                    </w:r>
                    <w:r>
                      <w:rPr>
                        <w:rFonts w:ascii="Verdana" w:hAnsi="Verdana"/>
                        <w:w w:val="58"/>
                        <w:sz w:val="17"/>
                      </w:rPr>
                      <w:t>N</w:t>
                    </w:r>
                    <w:r>
                      <w:rPr>
                        <w:rFonts w:ascii="Verdana" w:hAnsi="Verdana"/>
                        <w:sz w:val="17"/>
                      </w:rPr>
                      <w:t> </w:t>
                    </w:r>
                    <w:r>
                      <w:rPr>
                        <w:rFonts w:ascii="Verdana" w:hAnsi="Verdana"/>
                        <w:w w:val="59"/>
                        <w:sz w:val="17"/>
                      </w:rPr>
                      <w:t>M</w:t>
                    </w:r>
                    <w:r>
                      <w:rPr>
                        <w:rFonts w:ascii="Verdana" w:hAnsi="Verdana"/>
                        <w:w w:val="54"/>
                        <w:sz w:val="17"/>
                      </w:rPr>
                      <w:t>IN</w:t>
                    </w:r>
                    <w:r>
                      <w:rPr>
                        <w:rFonts w:ascii="Verdana" w:hAnsi="Verdana"/>
                        <w:w w:val="56"/>
                        <w:sz w:val="17"/>
                      </w:rPr>
                      <w:t>E</w:t>
                    </w:r>
                    <w:r>
                      <w:rPr>
                        <w:rFonts w:ascii="Verdana" w:hAnsi="Verdana"/>
                        <w:w w:val="61"/>
                        <w:sz w:val="17"/>
                      </w:rPr>
                      <w:t>R</w:t>
                    </w:r>
                    <w:r>
                      <w:rPr>
                        <w:rFonts w:ascii="Verdana" w:hAnsi="Verdana"/>
                        <w:w w:val="58"/>
                        <w:sz w:val="17"/>
                      </w:rPr>
                      <w:t>A</w:t>
                    </w:r>
                    <w:r>
                      <w:rPr>
                        <w:rFonts w:ascii="Verdana" w:hAnsi="Verdana"/>
                        <w:w w:val="60"/>
                        <w:sz w:val="17"/>
                      </w:rPr>
                      <w:t>Ç</w:t>
                    </w:r>
                    <w:r>
                      <w:rPr>
                        <w:rFonts w:ascii="Verdana" w:hAnsi="Verdana"/>
                        <w:w w:val="58"/>
                        <w:sz w:val="17"/>
                      </w:rPr>
                      <w:t>Ã</w:t>
                    </w:r>
                    <w:r>
                      <w:rPr>
                        <w:rFonts w:ascii="Verdana" w:hAnsi="Verdana"/>
                        <w:w w:val="56"/>
                        <w:sz w:val="17"/>
                      </w:rPr>
                      <w:t>O </w:t>
                    </w:r>
                    <w:r>
                      <w:rPr>
                        <w:rFonts w:ascii="Verdana" w:hAnsi="Verdana"/>
                        <w:b/>
                        <w:w w:val="70"/>
                        <w:sz w:val="17"/>
                      </w:rPr>
                      <w:t>Dano potencial: ALTO </w:t>
                    </w:r>
                    <w:r>
                      <w:rPr>
                        <w:rFonts w:ascii="Verdana" w:hAnsi="Verdana"/>
                        <w:w w:val="70"/>
                        <w:sz w:val="17"/>
                      </w:rPr>
                      <w:t>Classe: C</w:t>
                    </w:r>
                  </w:p>
                  <w:p>
                    <w:pPr>
                      <w:spacing w:before="1"/>
                      <w:ind w:left="154" w:right="0" w:firstLine="0"/>
                      <w:jc w:val="left"/>
                      <w:rPr>
                        <w:rFonts w:ascii="Verdana"/>
                        <w:b/>
                        <w:sz w:val="17"/>
                      </w:rPr>
                    </w:pPr>
                    <w:r>
                      <w:rPr>
                        <w:rFonts w:ascii="Verdana"/>
                        <w:b/>
                        <w:w w:val="70"/>
                        <w:sz w:val="17"/>
                      </w:rPr>
                      <w:t>Categoria de risco: BAIXO</w:t>
                    </w:r>
                  </w:p>
                </w:txbxContent>
              </v:textbox>
              <w10:wrap type="none"/>
            </v:shape>
            <v:shape style="position:absolute;left:1396;top:4244;width:1940;height:1620" type="#_x0000_t202" filled="false" stroked="false">
              <v:textbox inset="0,0,0,0">
                <w:txbxContent>
                  <w:p>
                    <w:pPr>
                      <w:spacing w:line="240" w:lineRule="auto" w:before="10"/>
                      <w:rPr>
                        <w:sz w:val="25"/>
                      </w:rPr>
                    </w:pPr>
                  </w:p>
                  <w:p>
                    <w:pPr>
                      <w:spacing w:line="204" w:lineRule="exact" w:before="0"/>
                      <w:ind w:left="154" w:right="0" w:firstLine="0"/>
                      <w:jc w:val="left"/>
                      <w:rPr>
                        <w:rFonts w:ascii="Verdana"/>
                        <w:b/>
                        <w:sz w:val="17"/>
                      </w:rPr>
                    </w:pPr>
                    <w:r>
                      <w:rPr>
                        <w:rFonts w:ascii="Verdana"/>
                        <w:b/>
                        <w:w w:val="70"/>
                        <w:sz w:val="17"/>
                      </w:rPr>
                      <w:t>BARRAGEM B5</w:t>
                    </w:r>
                  </w:p>
                  <w:p>
                    <w:pPr>
                      <w:spacing w:line="235" w:lineRule="auto" w:before="1"/>
                      <w:ind w:left="154" w:right="319" w:firstLine="0"/>
                      <w:jc w:val="left"/>
                      <w:rPr>
                        <w:rFonts w:ascii="Verdana" w:hAnsi="Verdana"/>
                        <w:sz w:val="17"/>
                      </w:rPr>
                    </w:pPr>
                    <w:r>
                      <w:rPr>
                        <w:rFonts w:ascii="Verdana" w:hAnsi="Verdana"/>
                        <w:w w:val="56"/>
                        <w:sz w:val="17"/>
                      </w:rPr>
                      <w:t>E</w:t>
                    </w:r>
                    <w:r>
                      <w:rPr>
                        <w:rFonts w:ascii="Verdana" w:hAnsi="Verdana"/>
                        <w:w w:val="60"/>
                        <w:sz w:val="17"/>
                      </w:rPr>
                      <w:t>m</w:t>
                    </w:r>
                    <w:r>
                      <w:rPr>
                        <w:rFonts w:ascii="Verdana" w:hAnsi="Verdana"/>
                        <w:w w:val="60"/>
                        <w:sz w:val="17"/>
                      </w:rPr>
                      <w:t>p</w:t>
                    </w:r>
                    <w:r>
                      <w:rPr>
                        <w:rFonts w:ascii="Verdana" w:hAnsi="Verdana"/>
                        <w:w w:val="77"/>
                        <w:sz w:val="17"/>
                      </w:rPr>
                      <w:t>r</w:t>
                    </w:r>
                    <w:r>
                      <w:rPr>
                        <w:rFonts w:ascii="Verdana" w:hAnsi="Verdana"/>
                        <w:w w:val="62"/>
                        <w:sz w:val="17"/>
                      </w:rPr>
                      <w:t>e</w:t>
                    </w:r>
                    <w:r>
                      <w:rPr>
                        <w:rFonts w:ascii="Verdana" w:hAnsi="Verdana"/>
                        <w:w w:val="69"/>
                        <w:sz w:val="17"/>
                      </w:rPr>
                      <w:t>s</w:t>
                    </w:r>
                    <w:r>
                      <w:rPr>
                        <w:rFonts w:ascii="Verdana" w:hAnsi="Verdana"/>
                        <w:w w:val="62"/>
                        <w:sz w:val="17"/>
                      </w:rPr>
                      <w:t>a</w:t>
                    </w:r>
                    <w:r>
                      <w:rPr>
                        <w:rFonts w:ascii="Verdana" w:hAnsi="Verdana"/>
                        <w:w w:val="36"/>
                        <w:sz w:val="17"/>
                      </w:rPr>
                      <w:t>:</w:t>
                    </w:r>
                    <w:r>
                      <w:rPr>
                        <w:rFonts w:ascii="Verdana" w:hAnsi="Verdana"/>
                        <w:sz w:val="17"/>
                      </w:rPr>
                      <w:t> </w:t>
                    </w:r>
                    <w:r>
                      <w:rPr>
                        <w:rFonts w:ascii="Verdana" w:hAnsi="Verdana"/>
                        <w:w w:val="60"/>
                        <w:sz w:val="17"/>
                      </w:rPr>
                      <w:t>C</w:t>
                    </w:r>
                    <w:r>
                      <w:rPr>
                        <w:rFonts w:ascii="Verdana" w:hAnsi="Verdana"/>
                        <w:w w:val="61"/>
                        <w:sz w:val="17"/>
                      </w:rPr>
                      <w:t>S</w:t>
                    </w:r>
                    <w:r>
                      <w:rPr>
                        <w:rFonts w:ascii="Verdana" w:hAnsi="Verdana"/>
                        <w:w w:val="58"/>
                        <w:sz w:val="17"/>
                      </w:rPr>
                      <w:t>N</w:t>
                    </w:r>
                    <w:r>
                      <w:rPr>
                        <w:rFonts w:ascii="Verdana" w:hAnsi="Verdana"/>
                        <w:sz w:val="17"/>
                      </w:rPr>
                      <w:t> </w:t>
                    </w:r>
                    <w:r>
                      <w:rPr>
                        <w:rFonts w:ascii="Verdana" w:hAnsi="Verdana"/>
                        <w:w w:val="59"/>
                        <w:sz w:val="17"/>
                      </w:rPr>
                      <w:t>M</w:t>
                    </w:r>
                    <w:r>
                      <w:rPr>
                        <w:rFonts w:ascii="Verdana" w:hAnsi="Verdana"/>
                        <w:w w:val="54"/>
                        <w:sz w:val="17"/>
                      </w:rPr>
                      <w:t>IN</w:t>
                    </w:r>
                    <w:r>
                      <w:rPr>
                        <w:rFonts w:ascii="Verdana" w:hAnsi="Verdana"/>
                        <w:w w:val="56"/>
                        <w:sz w:val="17"/>
                      </w:rPr>
                      <w:t>E</w:t>
                    </w:r>
                    <w:r>
                      <w:rPr>
                        <w:rFonts w:ascii="Verdana" w:hAnsi="Verdana"/>
                        <w:w w:val="61"/>
                        <w:sz w:val="17"/>
                      </w:rPr>
                      <w:t>R</w:t>
                    </w:r>
                    <w:r>
                      <w:rPr>
                        <w:rFonts w:ascii="Verdana" w:hAnsi="Verdana"/>
                        <w:w w:val="58"/>
                        <w:sz w:val="17"/>
                      </w:rPr>
                      <w:t>A</w:t>
                    </w:r>
                    <w:r>
                      <w:rPr>
                        <w:rFonts w:ascii="Verdana" w:hAnsi="Verdana"/>
                        <w:w w:val="60"/>
                        <w:sz w:val="17"/>
                      </w:rPr>
                      <w:t>Ç</w:t>
                    </w:r>
                    <w:r>
                      <w:rPr>
                        <w:rFonts w:ascii="Verdana" w:hAnsi="Verdana"/>
                        <w:w w:val="58"/>
                        <w:sz w:val="17"/>
                      </w:rPr>
                      <w:t>Ã</w:t>
                    </w:r>
                    <w:r>
                      <w:rPr>
                        <w:rFonts w:ascii="Verdana" w:hAnsi="Verdana"/>
                        <w:w w:val="56"/>
                        <w:sz w:val="17"/>
                      </w:rPr>
                      <w:t>O </w:t>
                    </w:r>
                    <w:r>
                      <w:rPr>
                        <w:rFonts w:ascii="Verdana" w:hAnsi="Verdana"/>
                        <w:b/>
                        <w:w w:val="65"/>
                        <w:sz w:val="17"/>
                      </w:rPr>
                      <w:t>Dano potencial: ALTO </w:t>
                    </w:r>
                    <w:r>
                      <w:rPr>
                        <w:rFonts w:ascii="Verdana" w:hAnsi="Verdana"/>
                        <w:w w:val="70"/>
                        <w:sz w:val="17"/>
                      </w:rPr>
                      <w:t>Classe: C</w:t>
                    </w:r>
                  </w:p>
                  <w:p>
                    <w:pPr>
                      <w:spacing w:before="1"/>
                      <w:ind w:left="154" w:right="0" w:firstLine="0"/>
                      <w:jc w:val="left"/>
                      <w:rPr>
                        <w:rFonts w:ascii="Verdana"/>
                        <w:b/>
                        <w:sz w:val="17"/>
                      </w:rPr>
                    </w:pPr>
                    <w:r>
                      <w:rPr>
                        <w:rFonts w:ascii="Verdana"/>
                        <w:b/>
                        <w:w w:val="70"/>
                        <w:sz w:val="17"/>
                      </w:rPr>
                      <w:t>Categoria de risco: BAIXO</w:t>
                    </w:r>
                  </w:p>
                </w:txbxContent>
              </v:textbox>
              <w10:wrap type="none"/>
            </v:shape>
            <v:shape style="position:absolute;left:9110;top:3602;width:1933;height:1647" type="#_x0000_t202" filled="false" stroked="false">
              <v:textbox inset="0,0,0,0">
                <w:txbxContent>
                  <w:p>
                    <w:pPr>
                      <w:spacing w:line="240" w:lineRule="auto" w:before="4"/>
                      <w:rPr>
                        <w:sz w:val="18"/>
                      </w:rPr>
                    </w:pPr>
                  </w:p>
                  <w:p>
                    <w:pPr>
                      <w:spacing w:line="237" w:lineRule="auto" w:before="0"/>
                      <w:ind w:left="155" w:right="311" w:firstLine="0"/>
                      <w:jc w:val="left"/>
                      <w:rPr>
                        <w:rFonts w:ascii="Verdana"/>
                        <w:b/>
                        <w:sz w:val="17"/>
                      </w:rPr>
                    </w:pPr>
                    <w:r>
                      <w:rPr>
                        <w:rFonts w:ascii="Verdana"/>
                        <w:b/>
                        <w:w w:val="55"/>
                        <w:sz w:val="17"/>
                      </w:rPr>
                      <w:t>BARRAGEM AUXILIAR DO </w:t>
                    </w:r>
                    <w:r>
                      <w:rPr>
                        <w:rFonts w:ascii="Verdana"/>
                        <w:b/>
                        <w:w w:val="65"/>
                        <w:sz w:val="17"/>
                      </w:rPr>
                      <w:t>VIGIA</w:t>
                    </w:r>
                  </w:p>
                  <w:p>
                    <w:pPr>
                      <w:spacing w:line="235" w:lineRule="auto" w:before="0"/>
                      <w:ind w:left="155" w:right="311" w:firstLine="0"/>
                      <w:jc w:val="left"/>
                      <w:rPr>
                        <w:rFonts w:ascii="Verdana" w:hAnsi="Verdana"/>
                        <w:sz w:val="17"/>
                      </w:rPr>
                    </w:pPr>
                    <w:r>
                      <w:rPr>
                        <w:rFonts w:ascii="Verdana" w:hAnsi="Verdana"/>
                        <w:w w:val="56"/>
                        <w:sz w:val="17"/>
                      </w:rPr>
                      <w:t>E</w:t>
                    </w:r>
                    <w:r>
                      <w:rPr>
                        <w:rFonts w:ascii="Verdana" w:hAnsi="Verdana"/>
                        <w:w w:val="60"/>
                        <w:sz w:val="17"/>
                      </w:rPr>
                      <w:t>m</w:t>
                    </w:r>
                    <w:r>
                      <w:rPr>
                        <w:rFonts w:ascii="Verdana" w:hAnsi="Verdana"/>
                        <w:w w:val="60"/>
                        <w:sz w:val="17"/>
                      </w:rPr>
                      <w:t>p</w:t>
                    </w:r>
                    <w:r>
                      <w:rPr>
                        <w:rFonts w:ascii="Verdana" w:hAnsi="Verdana"/>
                        <w:w w:val="77"/>
                        <w:sz w:val="17"/>
                      </w:rPr>
                      <w:t>r</w:t>
                    </w:r>
                    <w:r>
                      <w:rPr>
                        <w:rFonts w:ascii="Verdana" w:hAnsi="Verdana"/>
                        <w:w w:val="62"/>
                        <w:sz w:val="17"/>
                      </w:rPr>
                      <w:t>e</w:t>
                    </w:r>
                    <w:r>
                      <w:rPr>
                        <w:rFonts w:ascii="Verdana" w:hAnsi="Verdana"/>
                        <w:w w:val="69"/>
                        <w:sz w:val="17"/>
                      </w:rPr>
                      <w:t>s</w:t>
                    </w:r>
                    <w:r>
                      <w:rPr>
                        <w:rFonts w:ascii="Verdana" w:hAnsi="Verdana"/>
                        <w:w w:val="62"/>
                        <w:sz w:val="17"/>
                      </w:rPr>
                      <w:t>a</w:t>
                    </w:r>
                    <w:r>
                      <w:rPr>
                        <w:rFonts w:ascii="Verdana" w:hAnsi="Verdana"/>
                        <w:w w:val="36"/>
                        <w:sz w:val="17"/>
                      </w:rPr>
                      <w:t>:</w:t>
                    </w:r>
                    <w:r>
                      <w:rPr>
                        <w:rFonts w:ascii="Verdana" w:hAnsi="Verdana"/>
                        <w:sz w:val="17"/>
                      </w:rPr>
                      <w:t> </w:t>
                    </w:r>
                    <w:r>
                      <w:rPr>
                        <w:rFonts w:ascii="Verdana" w:hAnsi="Verdana"/>
                        <w:w w:val="60"/>
                        <w:sz w:val="17"/>
                      </w:rPr>
                      <w:t>C</w:t>
                    </w:r>
                    <w:r>
                      <w:rPr>
                        <w:rFonts w:ascii="Verdana" w:hAnsi="Verdana"/>
                        <w:w w:val="61"/>
                        <w:sz w:val="17"/>
                      </w:rPr>
                      <w:t>S</w:t>
                    </w:r>
                    <w:r>
                      <w:rPr>
                        <w:rFonts w:ascii="Verdana" w:hAnsi="Verdana"/>
                        <w:w w:val="58"/>
                        <w:sz w:val="17"/>
                      </w:rPr>
                      <w:t>N</w:t>
                    </w:r>
                    <w:r>
                      <w:rPr>
                        <w:rFonts w:ascii="Verdana" w:hAnsi="Verdana"/>
                        <w:sz w:val="17"/>
                      </w:rPr>
                      <w:t> </w:t>
                    </w:r>
                    <w:r>
                      <w:rPr>
                        <w:rFonts w:ascii="Verdana" w:hAnsi="Verdana"/>
                        <w:w w:val="59"/>
                        <w:sz w:val="17"/>
                      </w:rPr>
                      <w:t>M</w:t>
                    </w:r>
                    <w:r>
                      <w:rPr>
                        <w:rFonts w:ascii="Verdana" w:hAnsi="Verdana"/>
                        <w:w w:val="54"/>
                        <w:sz w:val="17"/>
                      </w:rPr>
                      <w:t>IN</w:t>
                    </w:r>
                    <w:r>
                      <w:rPr>
                        <w:rFonts w:ascii="Verdana" w:hAnsi="Verdana"/>
                        <w:w w:val="56"/>
                        <w:sz w:val="17"/>
                      </w:rPr>
                      <w:t>E</w:t>
                    </w:r>
                    <w:r>
                      <w:rPr>
                        <w:rFonts w:ascii="Verdana" w:hAnsi="Verdana"/>
                        <w:w w:val="61"/>
                        <w:sz w:val="17"/>
                      </w:rPr>
                      <w:t>R</w:t>
                    </w:r>
                    <w:r>
                      <w:rPr>
                        <w:rFonts w:ascii="Verdana" w:hAnsi="Verdana"/>
                        <w:w w:val="58"/>
                        <w:sz w:val="17"/>
                      </w:rPr>
                      <w:t>A</w:t>
                    </w:r>
                    <w:r>
                      <w:rPr>
                        <w:rFonts w:ascii="Verdana" w:hAnsi="Verdana"/>
                        <w:w w:val="60"/>
                        <w:sz w:val="17"/>
                      </w:rPr>
                      <w:t>Ç</w:t>
                    </w:r>
                    <w:r>
                      <w:rPr>
                        <w:rFonts w:ascii="Verdana" w:hAnsi="Verdana"/>
                        <w:w w:val="58"/>
                        <w:sz w:val="17"/>
                      </w:rPr>
                      <w:t>Ã</w:t>
                    </w:r>
                    <w:r>
                      <w:rPr>
                        <w:rFonts w:ascii="Verdana" w:hAnsi="Verdana"/>
                        <w:w w:val="56"/>
                        <w:sz w:val="17"/>
                      </w:rPr>
                      <w:t>O </w:t>
                    </w:r>
                    <w:r>
                      <w:rPr>
                        <w:rFonts w:ascii="Verdana" w:hAnsi="Verdana"/>
                        <w:b/>
                        <w:w w:val="65"/>
                        <w:sz w:val="17"/>
                      </w:rPr>
                      <w:t>Dano potencial: ALTO </w:t>
                    </w:r>
                    <w:r>
                      <w:rPr>
                        <w:rFonts w:ascii="Verdana" w:hAnsi="Verdana"/>
                        <w:w w:val="70"/>
                        <w:sz w:val="17"/>
                      </w:rPr>
                      <w:t>Classe: C</w:t>
                    </w:r>
                  </w:p>
                  <w:p>
                    <w:pPr>
                      <w:spacing w:line="205" w:lineRule="exact" w:before="0"/>
                      <w:ind w:left="155" w:right="0" w:firstLine="0"/>
                      <w:jc w:val="left"/>
                      <w:rPr>
                        <w:rFonts w:ascii="Verdana"/>
                        <w:b/>
                        <w:sz w:val="17"/>
                      </w:rPr>
                    </w:pPr>
                    <w:r>
                      <w:rPr>
                        <w:rFonts w:ascii="Verdana"/>
                        <w:b/>
                        <w:w w:val="70"/>
                        <w:sz w:val="17"/>
                      </w:rPr>
                      <w:t>Categoria de risco: BAIXO</w:t>
                    </w:r>
                  </w:p>
                </w:txbxContent>
              </v:textbox>
              <w10:wrap type="none"/>
            </v:shape>
            <v:shape style="position:absolute;left:9124;top:1108;width:1933;height:1622" type="#_x0000_t202" filled="false" stroked="false">
              <v:textbox inset="0,0,0,0">
                <w:txbxContent>
                  <w:p>
                    <w:pPr>
                      <w:spacing w:line="240" w:lineRule="auto" w:before="10"/>
                      <w:rPr>
                        <w:sz w:val="25"/>
                      </w:rPr>
                    </w:pPr>
                  </w:p>
                  <w:p>
                    <w:pPr>
                      <w:spacing w:line="204" w:lineRule="exact" w:before="0"/>
                      <w:ind w:left="155" w:right="0" w:firstLine="0"/>
                      <w:jc w:val="left"/>
                      <w:rPr>
                        <w:rFonts w:ascii="Verdana"/>
                        <w:b/>
                        <w:sz w:val="17"/>
                      </w:rPr>
                    </w:pPr>
                    <w:r>
                      <w:rPr>
                        <w:rFonts w:ascii="Verdana"/>
                        <w:b/>
                        <w:w w:val="65"/>
                        <w:sz w:val="17"/>
                      </w:rPr>
                      <w:t>BOCAINA</w:t>
                    </w:r>
                  </w:p>
                  <w:p>
                    <w:pPr>
                      <w:spacing w:line="203" w:lineRule="exact" w:before="0"/>
                      <w:ind w:left="155" w:right="0" w:firstLine="0"/>
                      <w:jc w:val="left"/>
                      <w:rPr>
                        <w:rFonts w:ascii="Verdana" w:hAnsi="Verdana"/>
                        <w:sz w:val="17"/>
                      </w:rPr>
                    </w:pPr>
                    <w:r>
                      <w:rPr>
                        <w:rFonts w:ascii="Verdana" w:hAnsi="Verdana"/>
                        <w:spacing w:val="-1"/>
                        <w:w w:val="56"/>
                        <w:sz w:val="17"/>
                      </w:rPr>
                      <w:t>E</w:t>
                    </w:r>
                    <w:r>
                      <w:rPr>
                        <w:rFonts w:ascii="Verdana" w:hAnsi="Verdana"/>
                        <w:spacing w:val="1"/>
                        <w:w w:val="60"/>
                        <w:sz w:val="17"/>
                      </w:rPr>
                      <w:t>m</w:t>
                    </w:r>
                    <w:r>
                      <w:rPr>
                        <w:rFonts w:ascii="Verdana" w:hAnsi="Verdana"/>
                        <w:w w:val="60"/>
                        <w:sz w:val="17"/>
                      </w:rPr>
                      <w:t>p</w:t>
                    </w:r>
                    <w:r>
                      <w:rPr>
                        <w:rFonts w:ascii="Verdana" w:hAnsi="Verdana"/>
                        <w:spacing w:val="-2"/>
                        <w:w w:val="77"/>
                        <w:sz w:val="17"/>
                      </w:rPr>
                      <w:t>r</w:t>
                    </w:r>
                    <w:r>
                      <w:rPr>
                        <w:rFonts w:ascii="Verdana" w:hAnsi="Verdana"/>
                        <w:spacing w:val="-2"/>
                        <w:w w:val="62"/>
                        <w:sz w:val="17"/>
                      </w:rPr>
                      <w:t>e</w:t>
                    </w:r>
                    <w:r>
                      <w:rPr>
                        <w:rFonts w:ascii="Verdana" w:hAnsi="Verdana"/>
                        <w:spacing w:val="1"/>
                        <w:w w:val="69"/>
                        <w:sz w:val="17"/>
                      </w:rPr>
                      <w:t>s</w:t>
                    </w:r>
                    <w:r>
                      <w:rPr>
                        <w:rFonts w:ascii="Verdana" w:hAnsi="Verdana"/>
                        <w:spacing w:val="3"/>
                        <w:w w:val="62"/>
                        <w:sz w:val="17"/>
                      </w:rPr>
                      <w:t>a</w:t>
                    </w:r>
                    <w:r>
                      <w:rPr>
                        <w:rFonts w:ascii="Verdana" w:hAnsi="Verdana"/>
                        <w:w w:val="36"/>
                        <w:sz w:val="17"/>
                      </w:rPr>
                      <w:t>:</w:t>
                    </w:r>
                    <w:r>
                      <w:rPr>
                        <w:rFonts w:ascii="Verdana" w:hAnsi="Verdana"/>
                        <w:spacing w:val="-28"/>
                        <w:sz w:val="17"/>
                      </w:rPr>
                      <w:t> </w:t>
                    </w:r>
                    <w:r>
                      <w:rPr>
                        <w:rFonts w:ascii="Verdana" w:hAnsi="Verdana"/>
                        <w:spacing w:val="-2"/>
                        <w:w w:val="55"/>
                        <w:sz w:val="17"/>
                      </w:rPr>
                      <w:t>G</w:t>
                    </w:r>
                    <w:r>
                      <w:rPr>
                        <w:rFonts w:ascii="Verdana" w:hAnsi="Verdana"/>
                        <w:spacing w:val="-1"/>
                        <w:w w:val="56"/>
                        <w:sz w:val="17"/>
                      </w:rPr>
                      <w:t>E</w:t>
                    </w:r>
                    <w:r>
                      <w:rPr>
                        <w:rFonts w:ascii="Verdana" w:hAnsi="Verdana"/>
                        <w:spacing w:val="-1"/>
                        <w:w w:val="61"/>
                        <w:sz w:val="17"/>
                      </w:rPr>
                      <w:t>R</w:t>
                    </w:r>
                    <w:r>
                      <w:rPr>
                        <w:rFonts w:ascii="Verdana" w:hAnsi="Verdana"/>
                        <w:spacing w:val="-5"/>
                        <w:w w:val="56"/>
                        <w:sz w:val="17"/>
                      </w:rPr>
                      <w:t>D</w:t>
                    </w:r>
                    <w:r>
                      <w:rPr>
                        <w:rFonts w:ascii="Verdana" w:hAnsi="Verdana"/>
                        <w:spacing w:val="6"/>
                        <w:w w:val="58"/>
                        <w:sz w:val="17"/>
                      </w:rPr>
                      <w:t>A</w:t>
                    </w:r>
                    <w:r>
                      <w:rPr>
                        <w:rFonts w:ascii="Verdana" w:hAnsi="Verdana"/>
                        <w:w w:val="60"/>
                        <w:sz w:val="17"/>
                      </w:rPr>
                      <w:t>U</w:t>
                    </w:r>
                    <w:r>
                      <w:rPr>
                        <w:rFonts w:ascii="Verdana" w:hAnsi="Verdana"/>
                        <w:spacing w:val="-32"/>
                        <w:sz w:val="17"/>
                      </w:rPr>
                      <w:t> </w:t>
                    </w:r>
                    <w:r>
                      <w:rPr>
                        <w:rFonts w:ascii="Verdana" w:hAnsi="Verdana"/>
                        <w:spacing w:val="3"/>
                        <w:w w:val="58"/>
                        <w:sz w:val="17"/>
                      </w:rPr>
                      <w:t>A</w:t>
                    </w:r>
                    <w:r>
                      <w:rPr>
                        <w:rFonts w:ascii="Verdana" w:hAnsi="Verdana"/>
                        <w:w w:val="58"/>
                        <w:sz w:val="17"/>
                      </w:rPr>
                      <w:t>Ç</w:t>
                    </w:r>
                    <w:r>
                      <w:rPr>
                        <w:rFonts w:ascii="Verdana" w:hAnsi="Verdana"/>
                        <w:spacing w:val="-5"/>
                        <w:w w:val="58"/>
                        <w:sz w:val="17"/>
                      </w:rPr>
                      <w:t>O</w:t>
                    </w:r>
                    <w:r>
                      <w:rPr>
                        <w:rFonts w:ascii="Verdana" w:hAnsi="Verdana"/>
                        <w:spacing w:val="1"/>
                        <w:w w:val="59"/>
                        <w:sz w:val="17"/>
                      </w:rPr>
                      <w:t>M</w:t>
                    </w:r>
                    <w:r>
                      <w:rPr>
                        <w:rFonts w:ascii="Verdana" w:hAnsi="Verdana"/>
                        <w:spacing w:val="-1"/>
                        <w:w w:val="54"/>
                        <w:sz w:val="17"/>
                      </w:rPr>
                      <w:t>I</w:t>
                    </w:r>
                    <w:r>
                      <w:rPr>
                        <w:rFonts w:ascii="Verdana" w:hAnsi="Verdana"/>
                        <w:spacing w:val="-3"/>
                        <w:w w:val="54"/>
                        <w:sz w:val="17"/>
                      </w:rPr>
                      <w:t>N</w:t>
                    </w:r>
                    <w:r>
                      <w:rPr>
                        <w:rFonts w:ascii="Verdana" w:hAnsi="Verdana"/>
                        <w:spacing w:val="3"/>
                        <w:w w:val="58"/>
                        <w:sz w:val="17"/>
                      </w:rPr>
                      <w:t>A</w:t>
                    </w:r>
                    <w:r>
                      <w:rPr>
                        <w:rFonts w:ascii="Verdana" w:hAnsi="Verdana"/>
                        <w:w w:val="61"/>
                        <w:sz w:val="17"/>
                      </w:rPr>
                      <w:t>S</w:t>
                    </w:r>
                  </w:p>
                  <w:p>
                    <w:pPr>
                      <w:spacing w:line="203" w:lineRule="exact" w:before="0"/>
                      <w:ind w:left="155" w:right="0" w:firstLine="0"/>
                      <w:jc w:val="left"/>
                      <w:rPr>
                        <w:rFonts w:ascii="Verdana"/>
                        <w:b/>
                        <w:sz w:val="17"/>
                      </w:rPr>
                    </w:pPr>
                    <w:r>
                      <w:rPr>
                        <w:rFonts w:ascii="Verdana"/>
                        <w:b/>
                        <w:w w:val="70"/>
                        <w:sz w:val="17"/>
                      </w:rPr>
                      <w:t>Dano potencial: ALTO</w:t>
                    </w:r>
                  </w:p>
                  <w:p>
                    <w:pPr>
                      <w:spacing w:line="204" w:lineRule="exact" w:before="0"/>
                      <w:ind w:left="155" w:right="0" w:firstLine="0"/>
                      <w:jc w:val="left"/>
                      <w:rPr>
                        <w:rFonts w:ascii="Verdana"/>
                        <w:sz w:val="17"/>
                      </w:rPr>
                    </w:pPr>
                    <w:r>
                      <w:rPr>
                        <w:rFonts w:ascii="Verdana"/>
                        <w:w w:val="70"/>
                        <w:sz w:val="17"/>
                      </w:rPr>
                      <w:t>Classe: C</w:t>
                    </w:r>
                  </w:p>
                  <w:p>
                    <w:pPr>
                      <w:spacing w:before="2"/>
                      <w:ind w:left="155" w:right="0" w:firstLine="0"/>
                      <w:jc w:val="left"/>
                      <w:rPr>
                        <w:rFonts w:ascii="Verdana"/>
                        <w:b/>
                        <w:sz w:val="17"/>
                      </w:rPr>
                    </w:pPr>
                    <w:r>
                      <w:rPr>
                        <w:rFonts w:ascii="Verdana"/>
                        <w:b/>
                        <w:w w:val="70"/>
                        <w:sz w:val="17"/>
                      </w:rPr>
                      <w:t>Categoria de risco: BAIXO</w:t>
                    </w:r>
                  </w:p>
                </w:txbxContent>
              </v:textbox>
              <w10:wrap type="none"/>
            </v:shape>
            <v:shape style="position:absolute;left:6497;top:399;width:1933;height:1414" type="#_x0000_t202" filled="false" stroked="false">
              <v:textbox inset="0,0,0,0">
                <w:txbxContent>
                  <w:p>
                    <w:pPr>
                      <w:spacing w:line="240" w:lineRule="auto" w:before="3"/>
                      <w:rPr>
                        <w:sz w:val="17"/>
                      </w:rPr>
                    </w:pPr>
                  </w:p>
                  <w:p>
                    <w:pPr>
                      <w:spacing w:line="235" w:lineRule="auto" w:before="0"/>
                      <w:ind w:left="156" w:right="310" w:firstLine="0"/>
                      <w:jc w:val="left"/>
                      <w:rPr>
                        <w:rFonts w:ascii="Verdana" w:hAnsi="Verdana"/>
                        <w:sz w:val="17"/>
                      </w:rPr>
                    </w:pPr>
                    <w:r>
                      <w:rPr>
                        <w:rFonts w:ascii="Verdana" w:hAnsi="Verdana"/>
                        <w:b/>
                        <w:w w:val="70"/>
                        <w:sz w:val="17"/>
                      </w:rPr>
                      <w:t>BARRAGEM - B4 </w:t>
                    </w:r>
                    <w:r>
                      <w:rPr>
                        <w:rFonts w:ascii="Verdana" w:hAnsi="Verdana"/>
                        <w:w w:val="56"/>
                        <w:sz w:val="17"/>
                      </w:rPr>
                      <w:t>E</w:t>
                    </w:r>
                    <w:r>
                      <w:rPr>
                        <w:rFonts w:ascii="Verdana" w:hAnsi="Verdana"/>
                        <w:w w:val="60"/>
                        <w:sz w:val="17"/>
                      </w:rPr>
                      <w:t>m</w:t>
                    </w:r>
                    <w:r>
                      <w:rPr>
                        <w:rFonts w:ascii="Verdana" w:hAnsi="Verdana"/>
                        <w:w w:val="60"/>
                        <w:sz w:val="17"/>
                      </w:rPr>
                      <w:t>p</w:t>
                    </w:r>
                    <w:r>
                      <w:rPr>
                        <w:rFonts w:ascii="Verdana" w:hAnsi="Verdana"/>
                        <w:w w:val="77"/>
                        <w:sz w:val="17"/>
                      </w:rPr>
                      <w:t>r</w:t>
                    </w:r>
                    <w:r>
                      <w:rPr>
                        <w:rFonts w:ascii="Verdana" w:hAnsi="Verdana"/>
                        <w:w w:val="62"/>
                        <w:sz w:val="17"/>
                      </w:rPr>
                      <w:t>e</w:t>
                    </w:r>
                    <w:r>
                      <w:rPr>
                        <w:rFonts w:ascii="Verdana" w:hAnsi="Verdana"/>
                        <w:w w:val="69"/>
                        <w:sz w:val="17"/>
                      </w:rPr>
                      <w:t>s</w:t>
                    </w:r>
                    <w:r>
                      <w:rPr>
                        <w:rFonts w:ascii="Verdana" w:hAnsi="Verdana"/>
                        <w:w w:val="62"/>
                        <w:sz w:val="17"/>
                      </w:rPr>
                      <w:t>a</w:t>
                    </w:r>
                    <w:r>
                      <w:rPr>
                        <w:rFonts w:ascii="Verdana" w:hAnsi="Verdana"/>
                        <w:w w:val="36"/>
                        <w:sz w:val="17"/>
                      </w:rPr>
                      <w:t>:</w:t>
                    </w:r>
                    <w:r>
                      <w:rPr>
                        <w:rFonts w:ascii="Verdana" w:hAnsi="Verdana"/>
                        <w:sz w:val="17"/>
                      </w:rPr>
                      <w:t> </w:t>
                    </w:r>
                    <w:r>
                      <w:rPr>
                        <w:rFonts w:ascii="Verdana" w:hAnsi="Verdana"/>
                        <w:w w:val="60"/>
                        <w:sz w:val="17"/>
                      </w:rPr>
                      <w:t>C</w:t>
                    </w:r>
                    <w:r>
                      <w:rPr>
                        <w:rFonts w:ascii="Verdana" w:hAnsi="Verdana"/>
                        <w:w w:val="61"/>
                        <w:sz w:val="17"/>
                      </w:rPr>
                      <w:t>S</w:t>
                    </w:r>
                    <w:r>
                      <w:rPr>
                        <w:rFonts w:ascii="Verdana" w:hAnsi="Verdana"/>
                        <w:w w:val="58"/>
                        <w:sz w:val="17"/>
                      </w:rPr>
                      <w:t>N</w:t>
                    </w:r>
                    <w:r>
                      <w:rPr>
                        <w:rFonts w:ascii="Verdana" w:hAnsi="Verdana"/>
                        <w:sz w:val="17"/>
                      </w:rPr>
                      <w:t> </w:t>
                    </w:r>
                    <w:r>
                      <w:rPr>
                        <w:rFonts w:ascii="Verdana" w:hAnsi="Verdana"/>
                        <w:w w:val="59"/>
                        <w:sz w:val="17"/>
                      </w:rPr>
                      <w:t>M</w:t>
                    </w:r>
                    <w:r>
                      <w:rPr>
                        <w:rFonts w:ascii="Verdana" w:hAnsi="Verdana"/>
                        <w:w w:val="54"/>
                        <w:sz w:val="17"/>
                      </w:rPr>
                      <w:t>IN</w:t>
                    </w:r>
                    <w:r>
                      <w:rPr>
                        <w:rFonts w:ascii="Verdana" w:hAnsi="Verdana"/>
                        <w:w w:val="56"/>
                        <w:sz w:val="17"/>
                      </w:rPr>
                      <w:t>E</w:t>
                    </w:r>
                    <w:r>
                      <w:rPr>
                        <w:rFonts w:ascii="Verdana" w:hAnsi="Verdana"/>
                        <w:w w:val="61"/>
                        <w:sz w:val="17"/>
                      </w:rPr>
                      <w:t>R</w:t>
                    </w:r>
                    <w:r>
                      <w:rPr>
                        <w:rFonts w:ascii="Verdana" w:hAnsi="Verdana"/>
                        <w:w w:val="58"/>
                        <w:sz w:val="17"/>
                      </w:rPr>
                      <w:t>A</w:t>
                    </w:r>
                    <w:r>
                      <w:rPr>
                        <w:rFonts w:ascii="Verdana" w:hAnsi="Verdana"/>
                        <w:w w:val="60"/>
                        <w:sz w:val="17"/>
                      </w:rPr>
                      <w:t>Ç</w:t>
                    </w:r>
                    <w:r>
                      <w:rPr>
                        <w:rFonts w:ascii="Verdana" w:hAnsi="Verdana"/>
                        <w:w w:val="58"/>
                        <w:sz w:val="17"/>
                      </w:rPr>
                      <w:t>Ã</w:t>
                    </w:r>
                    <w:r>
                      <w:rPr>
                        <w:rFonts w:ascii="Verdana" w:hAnsi="Verdana"/>
                        <w:w w:val="56"/>
                        <w:sz w:val="17"/>
                      </w:rPr>
                      <w:t>O </w:t>
                    </w:r>
                    <w:r>
                      <w:rPr>
                        <w:rFonts w:ascii="Verdana" w:hAnsi="Verdana"/>
                        <w:b/>
                        <w:w w:val="65"/>
                        <w:sz w:val="17"/>
                      </w:rPr>
                      <w:t>Dano potencial: ALTO </w:t>
                    </w:r>
                    <w:r>
                      <w:rPr>
                        <w:rFonts w:ascii="Verdana" w:hAnsi="Verdana"/>
                        <w:w w:val="70"/>
                        <w:sz w:val="17"/>
                      </w:rPr>
                      <w:t>Classe: B</w:t>
                    </w:r>
                  </w:p>
                  <w:p>
                    <w:pPr>
                      <w:spacing w:before="0"/>
                      <w:ind w:left="156" w:right="0" w:firstLine="0"/>
                      <w:jc w:val="left"/>
                      <w:rPr>
                        <w:rFonts w:ascii="Verdana"/>
                        <w:b/>
                        <w:sz w:val="17"/>
                      </w:rPr>
                    </w:pPr>
                    <w:r>
                      <w:rPr>
                        <w:rFonts w:ascii="Verdana"/>
                        <w:b/>
                        <w:w w:val="70"/>
                        <w:sz w:val="17"/>
                      </w:rPr>
                      <w:t>Categoria de risco: BAIXO</w:t>
                    </w:r>
                  </w:p>
                </w:txbxContent>
              </v:textbox>
              <w10:wrap type="none"/>
            </v:shape>
            <w10:wrap type="topAndBottom"/>
          </v:group>
        </w:pict>
      </w:r>
    </w:p>
    <w:p>
      <w:pPr>
        <w:pStyle w:val="BodyText"/>
        <w:spacing w:line="360" w:lineRule="auto" w:before="212"/>
        <w:ind w:left="1702" w:right="1696"/>
        <w:jc w:val="both"/>
      </w:pPr>
      <w:r>
        <w:rPr/>
        <w:t>Há que se destacar que o levantamento das estruturas que merecem atenção especial não levou em conta somente a localização geográfica da estrutura em relação aos limites do município, mas sua posição segundo a bacia hidrográfica, considerando portanto a direção definida pelas bacias hidrográficas e vales a jusante, pelo fato dos rompimentos seguirem estas direções como rumo certo, ou seja, definido pelas calhas das bacias e seus respectivos relevo</w:t>
      </w:r>
      <w:r>
        <w:rPr>
          <w:spacing w:val="-1"/>
        </w:rPr>
        <w:t> </w:t>
      </w:r>
      <w:r>
        <w:rPr/>
        <w:t>topográficos.</w:t>
      </w:r>
    </w:p>
    <w:p>
      <w:pPr>
        <w:pStyle w:val="BodyText"/>
        <w:rPr>
          <w:sz w:val="20"/>
        </w:rPr>
      </w:pPr>
    </w:p>
    <w:p>
      <w:pPr>
        <w:pStyle w:val="BodyText"/>
        <w:rPr>
          <w:sz w:val="20"/>
        </w:rPr>
      </w:pPr>
    </w:p>
    <w:p>
      <w:pPr>
        <w:pStyle w:val="BodyText"/>
        <w:rPr>
          <w:sz w:val="20"/>
        </w:rPr>
      </w:pPr>
    </w:p>
    <w:p>
      <w:pPr>
        <w:pStyle w:val="BodyText"/>
        <w:spacing w:before="6"/>
        <w:rPr>
          <w:sz w:val="29"/>
        </w:rPr>
      </w:pPr>
      <w:r>
        <w:rPr/>
        <w:pict>
          <v:shape style="position:absolute;margin-left:475.660004pt;margin-top:18.179476pt;width:40.450pt;height:55.95pt;mso-position-horizontal-relative:page;mso-position-vertical-relative:paragraph;z-index:656;mso-wrap-distance-left:0;mso-wrap-distance-right:0" type="#_x0000_t202" filled="true" fillcolor="#6fac46" stroked="false">
            <v:textbox inset="0,0,0,0">
              <w:txbxContent>
                <w:p>
                  <w:pPr>
                    <w:pStyle w:val="BodyText"/>
                    <w:spacing w:before="10"/>
                    <w:rPr>
                      <w:sz w:val="29"/>
                    </w:rPr>
                  </w:pPr>
                </w:p>
                <w:p>
                  <w:pPr>
                    <w:spacing w:before="0"/>
                    <w:ind w:left="220" w:right="0" w:firstLine="0"/>
                    <w:jc w:val="left"/>
                    <w:rPr>
                      <w:rFonts w:ascii="Arial"/>
                      <w:sz w:val="36"/>
                    </w:rPr>
                  </w:pPr>
                  <w:r>
                    <w:rPr>
                      <w:rFonts w:ascii="Arial"/>
                      <w:color w:val="FFFFFF"/>
                      <w:sz w:val="36"/>
                    </w:rPr>
                    <w:t>17</w:t>
                  </w:r>
                </w:p>
              </w:txbxContent>
            </v:textbox>
            <v:fill type="solid"/>
            <w10:wrap type="topAndBottom"/>
          </v:shape>
        </w:pict>
      </w:r>
    </w:p>
    <w:p>
      <w:pPr>
        <w:spacing w:after="0"/>
        <w:rPr>
          <w:sz w:val="29"/>
        </w:rPr>
        <w:sectPr>
          <w:type w:val="continuous"/>
          <w:pgSz w:w="11910" w:h="16840"/>
          <w:pgMar w:top="0" w:bottom="280" w:left="0" w:right="0"/>
        </w:sectPr>
      </w:pPr>
    </w:p>
    <w:p>
      <w:pPr>
        <w:pStyle w:val="BodyText"/>
        <w:rPr>
          <w:sz w:val="20"/>
        </w:rPr>
      </w:pPr>
    </w:p>
    <w:p>
      <w:pPr>
        <w:pStyle w:val="BodyText"/>
        <w:rPr>
          <w:sz w:val="20"/>
        </w:rPr>
      </w:pPr>
    </w:p>
    <w:p>
      <w:pPr>
        <w:pStyle w:val="BodyText"/>
        <w:spacing w:before="1"/>
        <w:rPr>
          <w:sz w:val="18"/>
        </w:rPr>
      </w:pPr>
    </w:p>
    <w:p>
      <w:pPr>
        <w:spacing w:after="0"/>
        <w:rPr>
          <w:sz w:val="18"/>
        </w:rPr>
        <w:sectPr>
          <w:pgSz w:w="11910" w:h="16840"/>
          <w:pgMar w:top="0" w:bottom="0" w:left="0" w:right="0"/>
        </w:sectPr>
      </w:pPr>
    </w:p>
    <w:p>
      <w:pPr>
        <w:pStyle w:val="Heading1"/>
        <w:spacing w:line="172" w:lineRule="auto"/>
      </w:pPr>
      <w:r>
        <w:rPr/>
        <w:drawing>
          <wp:anchor distT="0" distB="0" distL="0" distR="0" allowOverlap="1" layoutInCell="1" locked="0" behindDoc="0" simplePos="0" relativeHeight="2848">
            <wp:simplePos x="0" y="0"/>
            <wp:positionH relativeFrom="page">
              <wp:posOffset>979932</wp:posOffset>
            </wp:positionH>
            <wp:positionV relativeFrom="paragraph">
              <wp:posOffset>-9589</wp:posOffset>
            </wp:positionV>
            <wp:extent cx="1478280" cy="612648"/>
            <wp:effectExtent l="0" t="0" r="0" b="0"/>
            <wp:wrapNone/>
            <wp:docPr id="77" name="image8.png" descr=""/>
            <wp:cNvGraphicFramePr>
              <a:graphicFrameLocks noChangeAspect="1"/>
            </wp:cNvGraphicFramePr>
            <a:graphic>
              <a:graphicData uri="http://schemas.openxmlformats.org/drawingml/2006/picture">
                <pic:pic>
                  <pic:nvPicPr>
                    <pic:cNvPr id="78" name="image8.png"/>
                    <pic:cNvPicPr/>
                  </pic:nvPicPr>
                  <pic:blipFill>
                    <a:blip r:embed="rId12" cstate="print"/>
                    <a:stretch>
                      <a:fillRect/>
                    </a:stretch>
                  </pic:blipFill>
                  <pic:spPr>
                    <a:xfrm>
                      <a:off x="0" y="0"/>
                      <a:ext cx="1478280" cy="612648"/>
                    </a:xfrm>
                    <a:prstGeom prst="rect">
                      <a:avLst/>
                    </a:prstGeom>
                  </pic:spPr>
                </pic:pic>
              </a:graphicData>
            </a:graphic>
          </wp:anchor>
        </w:drawing>
      </w:r>
      <w:r>
        <w:rPr>
          <w:color w:val="385522"/>
        </w:rPr>
        <w:t>meio </w:t>
      </w:r>
      <w:r>
        <w:rPr>
          <w:color w:val="385522"/>
          <w:w w:val="95"/>
        </w:rPr>
        <w:t>ambiente</w:t>
      </w:r>
    </w:p>
    <w:p>
      <w:pPr>
        <w:spacing w:before="60"/>
        <w:ind w:left="455" w:right="0" w:firstLine="0"/>
        <w:jc w:val="left"/>
        <w:rPr>
          <w:rFonts w:ascii="Arial" w:hAnsi="Arial"/>
          <w:sz w:val="22"/>
        </w:rPr>
      </w:pPr>
      <w:r>
        <w:rPr/>
        <w:br w:type="column"/>
      </w:r>
      <w:r>
        <w:rPr>
          <w:rFonts w:ascii="Arial" w:hAnsi="Arial"/>
          <w:color w:val="385522"/>
          <w:sz w:val="22"/>
        </w:rPr>
        <w:t>Plano Municipal de Segurança de Barragens-PMSB</w:t>
      </w:r>
    </w:p>
    <w:p>
      <w:pPr>
        <w:spacing w:after="0"/>
        <w:jc w:val="left"/>
        <w:rPr>
          <w:rFonts w:ascii="Arial" w:hAnsi="Arial"/>
          <w:sz w:val="22"/>
        </w:rPr>
        <w:sectPr>
          <w:type w:val="continuous"/>
          <w:pgSz w:w="11910" w:h="16840"/>
          <w:pgMar w:top="0" w:bottom="280" w:left="0" w:right="0"/>
          <w:cols w:num="2" w:equalWidth="0">
            <w:col w:w="5155" w:space="77"/>
            <w:col w:w="6678"/>
          </w:cols>
        </w:sectPr>
      </w:pPr>
    </w:p>
    <w:p>
      <w:pPr>
        <w:pStyle w:val="BodyText"/>
        <w:rPr>
          <w:rFonts w:ascii="Arial"/>
          <w:sz w:val="20"/>
        </w:rPr>
      </w:pPr>
      <w:r>
        <w:rPr/>
        <w:drawing>
          <wp:anchor distT="0" distB="0" distL="0" distR="0" allowOverlap="1" layoutInCell="1" locked="0" behindDoc="0" simplePos="0" relativeHeight="2872">
            <wp:simplePos x="0" y="0"/>
            <wp:positionH relativeFrom="page">
              <wp:posOffset>288925</wp:posOffset>
            </wp:positionH>
            <wp:positionV relativeFrom="page">
              <wp:posOffset>634</wp:posOffset>
            </wp:positionV>
            <wp:extent cx="474344" cy="10691748"/>
            <wp:effectExtent l="0" t="0" r="0" b="0"/>
            <wp:wrapNone/>
            <wp:docPr id="79" name="image9.png" descr=""/>
            <wp:cNvGraphicFramePr>
              <a:graphicFrameLocks noChangeAspect="1"/>
            </wp:cNvGraphicFramePr>
            <a:graphic>
              <a:graphicData uri="http://schemas.openxmlformats.org/drawingml/2006/picture">
                <pic:pic>
                  <pic:nvPicPr>
                    <pic:cNvPr id="80" name="image9.png"/>
                    <pic:cNvPicPr/>
                  </pic:nvPicPr>
                  <pic:blipFill>
                    <a:blip r:embed="rId13" cstate="print"/>
                    <a:stretch>
                      <a:fillRect/>
                    </a:stretch>
                  </pic:blipFill>
                  <pic:spPr>
                    <a:xfrm>
                      <a:off x="0" y="0"/>
                      <a:ext cx="474344" cy="10691748"/>
                    </a:xfrm>
                    <a:prstGeom prst="rect">
                      <a:avLst/>
                    </a:prstGeom>
                  </pic:spPr>
                </pic:pic>
              </a:graphicData>
            </a:graphic>
          </wp:anchor>
        </w:drawing>
      </w:r>
    </w:p>
    <w:p>
      <w:pPr>
        <w:pStyle w:val="BodyText"/>
        <w:rPr>
          <w:rFonts w:ascii="Arial"/>
          <w:sz w:val="20"/>
        </w:rPr>
      </w:pPr>
    </w:p>
    <w:p>
      <w:pPr>
        <w:pStyle w:val="BodyText"/>
        <w:spacing w:before="8"/>
        <w:rPr>
          <w:rFonts w:ascii="Arial"/>
          <w:sz w:val="22"/>
        </w:rPr>
      </w:pPr>
    </w:p>
    <w:p>
      <w:pPr>
        <w:pStyle w:val="BodyText"/>
        <w:spacing w:line="360" w:lineRule="auto" w:before="1"/>
        <w:ind w:left="1702" w:right="1695"/>
        <w:jc w:val="both"/>
      </w:pPr>
      <w:r>
        <w:rPr/>
        <w:t>Neste sentido, definiu-se um conjunto de bacias com influência no município, conforme se verá no mapa a seguir, destacando-se: Bacias Casa de Pedra, Rio Maranhão, Córrego dos Freitas, Córrego Macaquinhos, Córrego Monjolos, Gurita, Passagem, Rio Preto/Goiabeira, Rio Santo Antônio, Rio Soledade, Rio Maranhão, Esmeril, Joana Vieira, Luiz Ventura, Maria José, Plataforma, Rio Pequeri e Rio Sem Nome, todas estas caracterizadas como sub-bacias do Rio Paraopeba.</w:t>
      </w:r>
    </w:p>
    <w:p>
      <w:pPr>
        <w:pStyle w:val="BodyText"/>
        <w:spacing w:before="11"/>
        <w:rPr>
          <w:sz w:val="16"/>
        </w:rPr>
      </w:pPr>
      <w:r>
        <w:rPr/>
        <w:pict>
          <v:group style="position:absolute;margin-left:85.050003pt;margin-top:12.204375pt;width:450.75pt;height:437.25pt;mso-position-horizontal-relative:page;mso-position-vertical-relative:paragraph;z-index:752;mso-wrap-distance-left:0;mso-wrap-distance-right:0" coordorigin="1701,244" coordsize="9015,8745">
            <v:shape style="position:absolute;left:1701;top:244;width:9015;height:8745" type="#_x0000_t75" stroked="false">
              <v:imagedata r:id="rId47" o:title=""/>
            </v:shape>
            <v:shape style="position:absolute;left:4059;top:419;width:4300;height:665" type="#_x0000_t202" filled="false" stroked="false">
              <v:textbox inset="0,0,0,0">
                <w:txbxContent>
                  <w:p>
                    <w:pPr>
                      <w:spacing w:line="298" w:lineRule="exact" w:before="0"/>
                      <w:ind w:left="-1" w:right="18" w:firstLine="0"/>
                      <w:jc w:val="center"/>
                      <w:rPr>
                        <w:rFonts w:ascii="Trebuchet MS"/>
                        <w:b/>
                        <w:sz w:val="32"/>
                      </w:rPr>
                    </w:pPr>
                    <w:r>
                      <w:rPr>
                        <w:rFonts w:ascii="Trebuchet MS"/>
                        <w:b/>
                        <w:color w:val="FFFFFF"/>
                        <w:w w:val="95"/>
                        <w:sz w:val="32"/>
                      </w:rPr>
                      <w:t>SUBBACIAS</w:t>
                    </w:r>
                    <w:r>
                      <w:rPr>
                        <w:rFonts w:ascii="Trebuchet MS"/>
                        <w:b/>
                        <w:color w:val="FFFFFF"/>
                        <w:spacing w:val="-41"/>
                        <w:w w:val="95"/>
                        <w:sz w:val="32"/>
                      </w:rPr>
                      <w:t> </w:t>
                    </w:r>
                    <w:r>
                      <w:rPr>
                        <w:rFonts w:ascii="Trebuchet MS"/>
                        <w:b/>
                        <w:color w:val="FFFFFF"/>
                        <w:w w:val="95"/>
                        <w:sz w:val="32"/>
                      </w:rPr>
                      <w:t>DO</w:t>
                    </w:r>
                    <w:r>
                      <w:rPr>
                        <w:rFonts w:ascii="Trebuchet MS"/>
                        <w:b/>
                        <w:color w:val="FFFFFF"/>
                        <w:spacing w:val="-40"/>
                        <w:w w:val="95"/>
                        <w:sz w:val="32"/>
                      </w:rPr>
                      <w:t> </w:t>
                    </w:r>
                    <w:r>
                      <w:rPr>
                        <w:rFonts w:ascii="Trebuchet MS"/>
                        <w:b/>
                        <w:color w:val="FFFFFF"/>
                        <w:w w:val="95"/>
                        <w:sz w:val="32"/>
                      </w:rPr>
                      <w:t>RIO</w:t>
                    </w:r>
                    <w:r>
                      <w:rPr>
                        <w:rFonts w:ascii="Trebuchet MS"/>
                        <w:b/>
                        <w:color w:val="FFFFFF"/>
                        <w:spacing w:val="-40"/>
                        <w:w w:val="95"/>
                        <w:sz w:val="32"/>
                      </w:rPr>
                      <w:t> </w:t>
                    </w:r>
                    <w:r>
                      <w:rPr>
                        <w:rFonts w:ascii="Trebuchet MS"/>
                        <w:b/>
                        <w:color w:val="FFFFFF"/>
                        <w:w w:val="95"/>
                        <w:sz w:val="32"/>
                      </w:rPr>
                      <w:t>PARAOPEBA</w:t>
                    </w:r>
                  </w:p>
                  <w:p>
                    <w:pPr>
                      <w:spacing w:line="355" w:lineRule="exact" w:before="0"/>
                      <w:ind w:left="3" w:right="18" w:firstLine="0"/>
                      <w:jc w:val="center"/>
                      <w:rPr>
                        <w:rFonts w:ascii="Arial"/>
                        <w:sz w:val="32"/>
                      </w:rPr>
                    </w:pPr>
                    <w:r>
                      <w:rPr>
                        <w:rFonts w:ascii="Arial"/>
                        <w:color w:val="FFFFFF"/>
                        <w:sz w:val="32"/>
                      </w:rPr>
                      <w:t>Bacias de Congonhas</w:t>
                    </w:r>
                  </w:p>
                </w:txbxContent>
              </v:textbox>
              <w10:wrap type="none"/>
            </v:shape>
            <w10:wrap type="topAndBottom"/>
          </v:group>
        </w:pict>
      </w:r>
    </w:p>
    <w:p>
      <w:pPr>
        <w:pStyle w:val="BodyText"/>
        <w:spacing w:before="3"/>
        <w:rPr>
          <w:sz w:val="29"/>
        </w:rPr>
      </w:pPr>
    </w:p>
    <w:p>
      <w:pPr>
        <w:pStyle w:val="BodyText"/>
        <w:spacing w:line="360" w:lineRule="auto"/>
        <w:ind w:left="1702" w:right="1695"/>
        <w:jc w:val="both"/>
      </w:pPr>
      <w:r>
        <w:rPr/>
        <w:t>A seguir trazemos uma tabela que destaca dentre as estruturas identificadas, o método construtivo das barragens cadastradas, dando destaque ao “</w:t>
      </w:r>
      <w:r>
        <w:rPr>
          <w:i/>
        </w:rPr>
        <w:t>alteamento a montante</w:t>
      </w:r>
      <w:r>
        <w:rPr/>
        <w:t>”, por se tratar de técnica altamente questionada quanto a sua segurança e eficiência, que tem</w:t>
      </w:r>
    </w:p>
    <w:p>
      <w:pPr>
        <w:pStyle w:val="BodyText"/>
        <w:spacing w:before="7"/>
        <w:rPr>
          <w:sz w:val="29"/>
        </w:rPr>
      </w:pPr>
      <w:r>
        <w:rPr/>
        <w:pict>
          <v:shape style="position:absolute;margin-left:475.660004pt;margin-top:18.23769pt;width:40.450pt;height:55.95pt;mso-position-horizontal-relative:page;mso-position-vertical-relative:paragraph;z-index:776;mso-wrap-distance-left:0;mso-wrap-distance-right:0" type="#_x0000_t202" filled="true" fillcolor="#6fac46" stroked="false">
            <v:textbox inset="0,0,0,0">
              <w:txbxContent>
                <w:p>
                  <w:pPr>
                    <w:pStyle w:val="BodyText"/>
                    <w:spacing w:before="10"/>
                    <w:rPr>
                      <w:sz w:val="29"/>
                    </w:rPr>
                  </w:pPr>
                </w:p>
                <w:p>
                  <w:pPr>
                    <w:spacing w:before="0"/>
                    <w:ind w:left="220" w:right="0" w:firstLine="0"/>
                    <w:jc w:val="left"/>
                    <w:rPr>
                      <w:rFonts w:ascii="Arial"/>
                      <w:sz w:val="36"/>
                    </w:rPr>
                  </w:pPr>
                  <w:r>
                    <w:rPr>
                      <w:rFonts w:ascii="Arial"/>
                      <w:color w:val="FFFFFF"/>
                      <w:sz w:val="36"/>
                    </w:rPr>
                    <w:t>18</w:t>
                  </w:r>
                </w:p>
              </w:txbxContent>
            </v:textbox>
            <v:fill type="solid"/>
            <w10:wrap type="topAndBottom"/>
          </v:shape>
        </w:pict>
      </w:r>
    </w:p>
    <w:p>
      <w:pPr>
        <w:spacing w:after="0"/>
        <w:rPr>
          <w:sz w:val="29"/>
        </w:rPr>
        <w:sectPr>
          <w:type w:val="continuous"/>
          <w:pgSz w:w="11910" w:h="16840"/>
          <w:pgMar w:top="0" w:bottom="280" w:left="0" w:right="0"/>
        </w:sectPr>
      </w:pPr>
    </w:p>
    <w:p>
      <w:pPr>
        <w:pStyle w:val="BodyText"/>
        <w:rPr>
          <w:sz w:val="20"/>
        </w:rPr>
      </w:pPr>
    </w:p>
    <w:p>
      <w:pPr>
        <w:pStyle w:val="BodyText"/>
        <w:rPr>
          <w:sz w:val="20"/>
        </w:rPr>
      </w:pPr>
    </w:p>
    <w:p>
      <w:pPr>
        <w:pStyle w:val="BodyText"/>
        <w:spacing w:before="1"/>
        <w:rPr>
          <w:sz w:val="18"/>
        </w:rPr>
      </w:pPr>
    </w:p>
    <w:p>
      <w:pPr>
        <w:spacing w:after="0"/>
        <w:rPr>
          <w:sz w:val="18"/>
        </w:rPr>
        <w:sectPr>
          <w:pgSz w:w="11910" w:h="16840"/>
          <w:pgMar w:top="0" w:bottom="0" w:left="0" w:right="0"/>
        </w:sectPr>
      </w:pPr>
    </w:p>
    <w:p>
      <w:pPr>
        <w:pStyle w:val="Heading1"/>
        <w:spacing w:line="172" w:lineRule="auto"/>
      </w:pPr>
      <w:r>
        <w:rPr/>
        <w:drawing>
          <wp:anchor distT="0" distB="0" distL="0" distR="0" allowOverlap="1" layoutInCell="1" locked="0" behindDoc="0" simplePos="0" relativeHeight="2920">
            <wp:simplePos x="0" y="0"/>
            <wp:positionH relativeFrom="page">
              <wp:posOffset>979932</wp:posOffset>
            </wp:positionH>
            <wp:positionV relativeFrom="paragraph">
              <wp:posOffset>-9589</wp:posOffset>
            </wp:positionV>
            <wp:extent cx="1478280" cy="612648"/>
            <wp:effectExtent l="0" t="0" r="0" b="0"/>
            <wp:wrapNone/>
            <wp:docPr id="81" name="image8.png" descr=""/>
            <wp:cNvGraphicFramePr>
              <a:graphicFrameLocks noChangeAspect="1"/>
            </wp:cNvGraphicFramePr>
            <a:graphic>
              <a:graphicData uri="http://schemas.openxmlformats.org/drawingml/2006/picture">
                <pic:pic>
                  <pic:nvPicPr>
                    <pic:cNvPr id="82" name="image8.png"/>
                    <pic:cNvPicPr/>
                  </pic:nvPicPr>
                  <pic:blipFill>
                    <a:blip r:embed="rId12" cstate="print"/>
                    <a:stretch>
                      <a:fillRect/>
                    </a:stretch>
                  </pic:blipFill>
                  <pic:spPr>
                    <a:xfrm>
                      <a:off x="0" y="0"/>
                      <a:ext cx="1478280" cy="612648"/>
                    </a:xfrm>
                    <a:prstGeom prst="rect">
                      <a:avLst/>
                    </a:prstGeom>
                  </pic:spPr>
                </pic:pic>
              </a:graphicData>
            </a:graphic>
          </wp:anchor>
        </w:drawing>
      </w:r>
      <w:r>
        <w:rPr>
          <w:color w:val="385522"/>
        </w:rPr>
        <w:t>meio </w:t>
      </w:r>
      <w:r>
        <w:rPr>
          <w:color w:val="385522"/>
          <w:w w:val="95"/>
        </w:rPr>
        <w:t>ambiente</w:t>
      </w:r>
    </w:p>
    <w:p>
      <w:pPr>
        <w:spacing w:before="60"/>
        <w:ind w:left="455" w:right="0" w:firstLine="0"/>
        <w:jc w:val="left"/>
        <w:rPr>
          <w:rFonts w:ascii="Arial" w:hAnsi="Arial"/>
          <w:sz w:val="22"/>
        </w:rPr>
      </w:pPr>
      <w:r>
        <w:rPr/>
        <w:br w:type="column"/>
      </w:r>
      <w:r>
        <w:rPr>
          <w:rFonts w:ascii="Arial" w:hAnsi="Arial"/>
          <w:color w:val="385522"/>
          <w:sz w:val="22"/>
        </w:rPr>
        <w:t>Plano Municipal de Segurança de Barragens-PMSB</w:t>
      </w:r>
    </w:p>
    <w:p>
      <w:pPr>
        <w:spacing w:after="0"/>
        <w:jc w:val="left"/>
        <w:rPr>
          <w:rFonts w:ascii="Arial" w:hAnsi="Arial"/>
          <w:sz w:val="22"/>
        </w:rPr>
        <w:sectPr>
          <w:type w:val="continuous"/>
          <w:pgSz w:w="11910" w:h="16840"/>
          <w:pgMar w:top="0" w:bottom="280" w:left="0" w:right="0"/>
          <w:cols w:num="2" w:equalWidth="0">
            <w:col w:w="5155" w:space="77"/>
            <w:col w:w="6678"/>
          </w:cols>
        </w:sectPr>
      </w:pPr>
    </w:p>
    <w:p>
      <w:pPr>
        <w:pStyle w:val="BodyText"/>
        <w:rPr>
          <w:rFonts w:ascii="Arial"/>
          <w:sz w:val="20"/>
        </w:rPr>
      </w:pPr>
      <w:r>
        <w:rPr/>
        <w:drawing>
          <wp:anchor distT="0" distB="0" distL="0" distR="0" allowOverlap="1" layoutInCell="1" locked="0" behindDoc="0" simplePos="0" relativeHeight="2944">
            <wp:simplePos x="0" y="0"/>
            <wp:positionH relativeFrom="page">
              <wp:posOffset>288925</wp:posOffset>
            </wp:positionH>
            <wp:positionV relativeFrom="page">
              <wp:posOffset>634</wp:posOffset>
            </wp:positionV>
            <wp:extent cx="474344" cy="10691748"/>
            <wp:effectExtent l="0" t="0" r="0" b="0"/>
            <wp:wrapNone/>
            <wp:docPr id="83" name="image9.png" descr=""/>
            <wp:cNvGraphicFramePr>
              <a:graphicFrameLocks noChangeAspect="1"/>
            </wp:cNvGraphicFramePr>
            <a:graphic>
              <a:graphicData uri="http://schemas.openxmlformats.org/drawingml/2006/picture">
                <pic:pic>
                  <pic:nvPicPr>
                    <pic:cNvPr id="84" name="image9.png"/>
                    <pic:cNvPicPr/>
                  </pic:nvPicPr>
                  <pic:blipFill>
                    <a:blip r:embed="rId13" cstate="print"/>
                    <a:stretch>
                      <a:fillRect/>
                    </a:stretch>
                  </pic:blipFill>
                  <pic:spPr>
                    <a:xfrm>
                      <a:off x="0" y="0"/>
                      <a:ext cx="474344" cy="10691748"/>
                    </a:xfrm>
                    <a:prstGeom prst="rect">
                      <a:avLst/>
                    </a:prstGeom>
                  </pic:spPr>
                </pic:pic>
              </a:graphicData>
            </a:graphic>
          </wp:anchor>
        </w:drawing>
      </w:r>
    </w:p>
    <w:p>
      <w:pPr>
        <w:pStyle w:val="BodyText"/>
        <w:rPr>
          <w:rFonts w:ascii="Arial"/>
          <w:sz w:val="20"/>
        </w:rPr>
      </w:pPr>
    </w:p>
    <w:p>
      <w:pPr>
        <w:pStyle w:val="BodyText"/>
        <w:spacing w:before="8"/>
        <w:rPr>
          <w:rFonts w:ascii="Arial"/>
          <w:sz w:val="22"/>
        </w:rPr>
      </w:pPr>
    </w:p>
    <w:p>
      <w:pPr>
        <w:pStyle w:val="BodyText"/>
        <w:spacing w:line="360" w:lineRule="auto" w:before="1"/>
        <w:ind w:left="1702" w:right="1817"/>
      </w:pPr>
      <w:r>
        <w:rPr/>
        <w:t>se mostrado presente nas maiores tragédias envolvendo barragens, que aconteceram no Brasil, como nas cidades de Mariana (2015) e Brumadinho (2019).</w:t>
      </w:r>
    </w:p>
    <w:p>
      <w:pPr>
        <w:pStyle w:val="BodyText"/>
        <w:spacing w:before="4"/>
        <w:rPr>
          <w:sz w:val="21"/>
        </w:rPr>
      </w:pPr>
    </w:p>
    <w:tbl>
      <w:tblPr>
        <w:tblW w:w="0" w:type="auto"/>
        <w:jc w:val="left"/>
        <w:tblInd w:w="16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72"/>
        <w:gridCol w:w="3023"/>
        <w:gridCol w:w="1547"/>
        <w:gridCol w:w="1159"/>
        <w:gridCol w:w="1133"/>
        <w:gridCol w:w="1998"/>
      </w:tblGrid>
      <w:tr>
        <w:trPr>
          <w:trHeight w:val="932" w:hRule="atLeast"/>
        </w:trPr>
        <w:tc>
          <w:tcPr>
            <w:tcW w:w="372" w:type="dxa"/>
            <w:tcBorders>
              <w:bottom w:val="nil"/>
              <w:right w:val="nil"/>
            </w:tcBorders>
            <w:shd w:val="clear" w:color="auto" w:fill="9CC2E4"/>
          </w:tcPr>
          <w:p>
            <w:pPr>
              <w:pStyle w:val="TableParagraph"/>
              <w:rPr>
                <w:sz w:val="20"/>
              </w:rPr>
            </w:pPr>
          </w:p>
        </w:tc>
        <w:tc>
          <w:tcPr>
            <w:tcW w:w="3023" w:type="dxa"/>
            <w:tcBorders>
              <w:left w:val="nil"/>
              <w:bottom w:val="single" w:sz="8" w:space="0" w:color="000000"/>
              <w:right w:val="nil"/>
            </w:tcBorders>
            <w:shd w:val="clear" w:color="auto" w:fill="9CC2E4"/>
          </w:tcPr>
          <w:p>
            <w:pPr>
              <w:pStyle w:val="TableParagraph"/>
              <w:rPr>
                <w:sz w:val="29"/>
              </w:rPr>
            </w:pPr>
          </w:p>
          <w:p>
            <w:pPr>
              <w:pStyle w:val="TableParagraph"/>
              <w:spacing w:before="1"/>
              <w:ind w:left="194"/>
              <w:rPr>
                <w:sz w:val="22"/>
              </w:rPr>
            </w:pPr>
            <w:r>
              <w:rPr>
                <w:sz w:val="22"/>
              </w:rPr>
              <w:t>NOME DA BARRAGEM</w:t>
            </w:r>
          </w:p>
        </w:tc>
        <w:tc>
          <w:tcPr>
            <w:tcW w:w="1547" w:type="dxa"/>
            <w:tcBorders>
              <w:left w:val="nil"/>
              <w:bottom w:val="single" w:sz="8" w:space="0" w:color="000000"/>
              <w:right w:val="nil"/>
            </w:tcBorders>
            <w:shd w:val="clear" w:color="auto" w:fill="9CC2E4"/>
          </w:tcPr>
          <w:p>
            <w:pPr>
              <w:pStyle w:val="TableParagraph"/>
              <w:rPr>
                <w:sz w:val="29"/>
              </w:rPr>
            </w:pPr>
          </w:p>
          <w:p>
            <w:pPr>
              <w:pStyle w:val="TableParagraph"/>
              <w:spacing w:before="1"/>
              <w:ind w:left="313"/>
              <w:rPr>
                <w:sz w:val="22"/>
              </w:rPr>
            </w:pPr>
            <w:r>
              <w:rPr>
                <w:sz w:val="22"/>
              </w:rPr>
              <w:t>EMPRESA</w:t>
            </w:r>
          </w:p>
        </w:tc>
        <w:tc>
          <w:tcPr>
            <w:tcW w:w="1159" w:type="dxa"/>
            <w:tcBorders>
              <w:left w:val="nil"/>
              <w:bottom w:val="single" w:sz="8" w:space="0" w:color="000000"/>
              <w:right w:val="nil"/>
            </w:tcBorders>
            <w:shd w:val="clear" w:color="auto" w:fill="9CC2E4"/>
          </w:tcPr>
          <w:p>
            <w:pPr>
              <w:pStyle w:val="TableParagraph"/>
              <w:spacing w:before="80"/>
              <w:ind w:left="161" w:right="102"/>
              <w:jc w:val="center"/>
              <w:rPr>
                <w:sz w:val="22"/>
              </w:rPr>
            </w:pPr>
            <w:r>
              <w:rPr>
                <w:sz w:val="22"/>
              </w:rPr>
              <w:t>ALTURA ATUAL</w:t>
            </w:r>
          </w:p>
          <w:p>
            <w:pPr>
              <w:pStyle w:val="TableParagraph"/>
              <w:ind w:left="157" w:right="102"/>
              <w:jc w:val="center"/>
              <w:rPr>
                <w:sz w:val="22"/>
              </w:rPr>
            </w:pPr>
            <w:r>
              <w:rPr>
                <w:sz w:val="22"/>
              </w:rPr>
              <w:t>(m)</w:t>
            </w:r>
          </w:p>
        </w:tc>
        <w:tc>
          <w:tcPr>
            <w:tcW w:w="1133" w:type="dxa"/>
            <w:tcBorders>
              <w:left w:val="nil"/>
              <w:bottom w:val="single" w:sz="8" w:space="0" w:color="000000"/>
              <w:right w:val="nil"/>
            </w:tcBorders>
            <w:shd w:val="clear" w:color="auto" w:fill="9CC2E4"/>
          </w:tcPr>
          <w:p>
            <w:pPr>
              <w:pStyle w:val="TableParagraph"/>
              <w:spacing w:before="80"/>
              <w:ind w:left="111" w:right="77"/>
              <w:jc w:val="center"/>
              <w:rPr>
                <w:sz w:val="22"/>
              </w:rPr>
            </w:pPr>
            <w:r>
              <w:rPr>
                <w:sz w:val="22"/>
              </w:rPr>
              <w:t>VOLUME ATUAL (m3)</w:t>
            </w:r>
          </w:p>
        </w:tc>
        <w:tc>
          <w:tcPr>
            <w:tcW w:w="1998" w:type="dxa"/>
            <w:tcBorders>
              <w:left w:val="nil"/>
              <w:bottom w:val="single" w:sz="8" w:space="0" w:color="000000"/>
            </w:tcBorders>
            <w:shd w:val="clear" w:color="auto" w:fill="9CC2E4"/>
          </w:tcPr>
          <w:p>
            <w:pPr>
              <w:pStyle w:val="TableParagraph"/>
              <w:spacing w:before="207"/>
              <w:ind w:left="229" w:right="191" w:firstLine="304"/>
              <w:rPr>
                <w:sz w:val="22"/>
              </w:rPr>
            </w:pPr>
            <w:r>
              <w:rPr>
                <w:sz w:val="22"/>
              </w:rPr>
              <w:t>MÉTODO CONSTRUTIVO</w:t>
            </w:r>
          </w:p>
        </w:tc>
      </w:tr>
      <w:tr>
        <w:trPr>
          <w:trHeight w:val="460" w:hRule="atLeast"/>
        </w:trPr>
        <w:tc>
          <w:tcPr>
            <w:tcW w:w="372" w:type="dxa"/>
            <w:tcBorders>
              <w:top w:val="nil"/>
              <w:bottom w:val="nil"/>
              <w:right w:val="single" w:sz="8" w:space="0" w:color="000000"/>
            </w:tcBorders>
            <w:shd w:val="clear" w:color="auto" w:fill="9CC2E4"/>
          </w:tcPr>
          <w:p>
            <w:pPr>
              <w:pStyle w:val="TableParagraph"/>
              <w:spacing w:line="223" w:lineRule="exact"/>
              <w:ind w:left="1"/>
              <w:jc w:val="center"/>
              <w:rPr>
                <w:sz w:val="20"/>
              </w:rPr>
            </w:pPr>
            <w:r>
              <w:rPr>
                <w:w w:val="99"/>
                <w:sz w:val="20"/>
              </w:rPr>
              <w:t>1</w:t>
            </w:r>
          </w:p>
        </w:tc>
        <w:tc>
          <w:tcPr>
            <w:tcW w:w="3023" w:type="dxa"/>
            <w:tcBorders>
              <w:top w:val="single" w:sz="8" w:space="0" w:color="000000"/>
              <w:left w:val="single" w:sz="8" w:space="0" w:color="000000"/>
              <w:right w:val="nil"/>
            </w:tcBorders>
            <w:shd w:val="clear" w:color="auto" w:fill="D9D9D9"/>
          </w:tcPr>
          <w:p>
            <w:pPr>
              <w:pStyle w:val="TableParagraph"/>
              <w:spacing w:line="223" w:lineRule="exact"/>
              <w:ind w:left="54"/>
              <w:rPr>
                <w:sz w:val="20"/>
              </w:rPr>
            </w:pPr>
            <w:r>
              <w:rPr>
                <w:sz w:val="20"/>
              </w:rPr>
              <w:t>ALTO JACUTINGA</w:t>
            </w:r>
          </w:p>
        </w:tc>
        <w:tc>
          <w:tcPr>
            <w:tcW w:w="1547" w:type="dxa"/>
            <w:tcBorders>
              <w:top w:val="single" w:sz="8" w:space="0" w:color="000000"/>
              <w:left w:val="nil"/>
              <w:right w:val="nil"/>
            </w:tcBorders>
            <w:shd w:val="clear" w:color="auto" w:fill="D9D9D9"/>
          </w:tcPr>
          <w:p>
            <w:pPr>
              <w:pStyle w:val="TableParagraph"/>
              <w:spacing w:line="223" w:lineRule="exact"/>
              <w:ind w:left="128"/>
              <w:rPr>
                <w:sz w:val="20"/>
              </w:rPr>
            </w:pPr>
            <w:r>
              <w:rPr>
                <w:sz w:val="20"/>
              </w:rPr>
              <w:t>VALE S/A</w:t>
            </w:r>
          </w:p>
        </w:tc>
        <w:tc>
          <w:tcPr>
            <w:tcW w:w="1159" w:type="dxa"/>
            <w:tcBorders>
              <w:top w:val="single" w:sz="8" w:space="0" w:color="000000"/>
              <w:left w:val="nil"/>
              <w:right w:val="nil"/>
            </w:tcBorders>
            <w:shd w:val="clear" w:color="auto" w:fill="D9D9D9"/>
          </w:tcPr>
          <w:p>
            <w:pPr>
              <w:pStyle w:val="TableParagraph"/>
              <w:spacing w:line="223" w:lineRule="exact"/>
              <w:ind w:left="159" w:right="102"/>
              <w:jc w:val="center"/>
              <w:rPr>
                <w:sz w:val="20"/>
              </w:rPr>
            </w:pPr>
            <w:r>
              <w:rPr>
                <w:sz w:val="20"/>
              </w:rPr>
              <w:t>11,8</w:t>
            </w:r>
          </w:p>
        </w:tc>
        <w:tc>
          <w:tcPr>
            <w:tcW w:w="1133" w:type="dxa"/>
            <w:tcBorders>
              <w:top w:val="single" w:sz="8" w:space="0" w:color="000000"/>
              <w:left w:val="nil"/>
              <w:right w:val="nil"/>
            </w:tcBorders>
            <w:shd w:val="clear" w:color="auto" w:fill="D9D9D9"/>
          </w:tcPr>
          <w:p>
            <w:pPr>
              <w:pStyle w:val="TableParagraph"/>
              <w:spacing w:line="223" w:lineRule="exact"/>
              <w:ind w:left="307"/>
              <w:rPr>
                <w:sz w:val="20"/>
              </w:rPr>
            </w:pPr>
            <w:r>
              <w:rPr>
                <w:sz w:val="20"/>
              </w:rPr>
              <w:t>92.434</w:t>
            </w:r>
          </w:p>
        </w:tc>
        <w:tc>
          <w:tcPr>
            <w:tcW w:w="1998" w:type="dxa"/>
            <w:tcBorders>
              <w:top w:val="single" w:sz="8" w:space="0" w:color="000000"/>
              <w:left w:val="nil"/>
            </w:tcBorders>
            <w:shd w:val="clear" w:color="auto" w:fill="D9D9D9"/>
          </w:tcPr>
          <w:p>
            <w:pPr>
              <w:pStyle w:val="TableParagraph"/>
              <w:spacing w:line="223" w:lineRule="exact"/>
              <w:ind w:left="84"/>
              <w:rPr>
                <w:sz w:val="20"/>
              </w:rPr>
            </w:pPr>
            <w:r>
              <w:rPr>
                <w:sz w:val="20"/>
              </w:rPr>
              <w:t>Alteamento por linha</w:t>
            </w:r>
          </w:p>
          <w:p>
            <w:pPr>
              <w:pStyle w:val="TableParagraph"/>
              <w:spacing w:line="217" w:lineRule="exact"/>
              <w:ind w:left="84"/>
              <w:rPr>
                <w:sz w:val="20"/>
              </w:rPr>
            </w:pPr>
            <w:r>
              <w:rPr>
                <w:sz w:val="20"/>
              </w:rPr>
              <w:t>de centro</w:t>
            </w:r>
          </w:p>
        </w:tc>
      </w:tr>
      <w:tr>
        <w:trPr>
          <w:trHeight w:val="330" w:hRule="atLeast"/>
        </w:trPr>
        <w:tc>
          <w:tcPr>
            <w:tcW w:w="372" w:type="dxa"/>
            <w:tcBorders>
              <w:top w:val="nil"/>
              <w:bottom w:val="nil"/>
              <w:right w:val="single" w:sz="8" w:space="0" w:color="000000"/>
            </w:tcBorders>
            <w:shd w:val="clear" w:color="auto" w:fill="9CC2E4"/>
          </w:tcPr>
          <w:p>
            <w:pPr>
              <w:pStyle w:val="TableParagraph"/>
              <w:spacing w:line="223" w:lineRule="exact"/>
              <w:ind w:left="1"/>
              <w:jc w:val="center"/>
              <w:rPr>
                <w:sz w:val="20"/>
              </w:rPr>
            </w:pPr>
            <w:r>
              <w:rPr>
                <w:w w:val="99"/>
                <w:sz w:val="20"/>
              </w:rPr>
              <w:t>2</w:t>
            </w:r>
          </w:p>
        </w:tc>
        <w:tc>
          <w:tcPr>
            <w:tcW w:w="3023" w:type="dxa"/>
            <w:tcBorders>
              <w:left w:val="single" w:sz="8" w:space="0" w:color="000000"/>
              <w:right w:val="nil"/>
            </w:tcBorders>
          </w:tcPr>
          <w:p>
            <w:pPr>
              <w:pStyle w:val="TableParagraph"/>
              <w:spacing w:line="223" w:lineRule="exact"/>
              <w:ind w:left="54"/>
              <w:rPr>
                <w:sz w:val="20"/>
              </w:rPr>
            </w:pPr>
            <w:r>
              <w:rPr>
                <w:sz w:val="20"/>
              </w:rPr>
              <w:t>BAIXO JOÃO PEREIRA</w:t>
            </w:r>
          </w:p>
        </w:tc>
        <w:tc>
          <w:tcPr>
            <w:tcW w:w="1547" w:type="dxa"/>
            <w:tcBorders>
              <w:left w:val="nil"/>
              <w:right w:val="nil"/>
            </w:tcBorders>
          </w:tcPr>
          <w:p>
            <w:pPr>
              <w:pStyle w:val="TableParagraph"/>
              <w:spacing w:line="223" w:lineRule="exact"/>
              <w:ind w:left="128"/>
              <w:rPr>
                <w:sz w:val="20"/>
              </w:rPr>
            </w:pPr>
            <w:r>
              <w:rPr>
                <w:sz w:val="20"/>
              </w:rPr>
              <w:t>VALE S/A</w:t>
            </w:r>
          </w:p>
        </w:tc>
        <w:tc>
          <w:tcPr>
            <w:tcW w:w="1159" w:type="dxa"/>
            <w:tcBorders>
              <w:left w:val="nil"/>
              <w:right w:val="nil"/>
            </w:tcBorders>
          </w:tcPr>
          <w:p>
            <w:pPr>
              <w:pStyle w:val="TableParagraph"/>
              <w:spacing w:line="223" w:lineRule="exact"/>
              <w:ind w:left="158" w:right="102"/>
              <w:jc w:val="center"/>
              <w:rPr>
                <w:sz w:val="20"/>
              </w:rPr>
            </w:pPr>
            <w:r>
              <w:rPr>
                <w:sz w:val="20"/>
              </w:rPr>
              <w:t>15,76</w:t>
            </w:r>
          </w:p>
        </w:tc>
        <w:tc>
          <w:tcPr>
            <w:tcW w:w="1133" w:type="dxa"/>
            <w:tcBorders>
              <w:left w:val="nil"/>
              <w:right w:val="nil"/>
            </w:tcBorders>
          </w:tcPr>
          <w:p>
            <w:pPr>
              <w:pStyle w:val="TableParagraph"/>
              <w:spacing w:line="223" w:lineRule="exact"/>
              <w:ind w:left="257"/>
              <w:rPr>
                <w:sz w:val="20"/>
              </w:rPr>
            </w:pPr>
            <w:r>
              <w:rPr>
                <w:sz w:val="20"/>
              </w:rPr>
              <w:t>142.500</w:t>
            </w:r>
          </w:p>
        </w:tc>
        <w:tc>
          <w:tcPr>
            <w:tcW w:w="1998" w:type="dxa"/>
            <w:tcBorders>
              <w:left w:val="nil"/>
            </w:tcBorders>
          </w:tcPr>
          <w:p>
            <w:pPr>
              <w:pStyle w:val="TableParagraph"/>
              <w:spacing w:line="223" w:lineRule="exact"/>
              <w:ind w:left="84"/>
              <w:rPr>
                <w:sz w:val="20"/>
              </w:rPr>
            </w:pPr>
            <w:r>
              <w:rPr>
                <w:sz w:val="20"/>
              </w:rPr>
              <w:t>Alteamento a jusante</w:t>
            </w:r>
          </w:p>
        </w:tc>
      </w:tr>
      <w:tr>
        <w:trPr>
          <w:trHeight w:val="328" w:hRule="atLeast"/>
        </w:trPr>
        <w:tc>
          <w:tcPr>
            <w:tcW w:w="372" w:type="dxa"/>
            <w:tcBorders>
              <w:top w:val="nil"/>
              <w:bottom w:val="nil"/>
              <w:right w:val="single" w:sz="8" w:space="0" w:color="000000"/>
            </w:tcBorders>
            <w:shd w:val="clear" w:color="auto" w:fill="9CC2E4"/>
          </w:tcPr>
          <w:p>
            <w:pPr>
              <w:pStyle w:val="TableParagraph"/>
              <w:spacing w:line="223" w:lineRule="exact"/>
              <w:ind w:left="1"/>
              <w:jc w:val="center"/>
              <w:rPr>
                <w:sz w:val="20"/>
              </w:rPr>
            </w:pPr>
            <w:r>
              <w:rPr>
                <w:w w:val="99"/>
                <w:sz w:val="20"/>
              </w:rPr>
              <w:t>3</w:t>
            </w:r>
          </w:p>
        </w:tc>
        <w:tc>
          <w:tcPr>
            <w:tcW w:w="3023" w:type="dxa"/>
            <w:tcBorders>
              <w:left w:val="single" w:sz="8" w:space="0" w:color="000000"/>
              <w:right w:val="nil"/>
            </w:tcBorders>
            <w:shd w:val="clear" w:color="auto" w:fill="D9D9D9"/>
          </w:tcPr>
          <w:p>
            <w:pPr>
              <w:pStyle w:val="TableParagraph"/>
              <w:spacing w:line="223" w:lineRule="exact"/>
              <w:ind w:left="54"/>
              <w:rPr>
                <w:sz w:val="20"/>
              </w:rPr>
            </w:pPr>
            <w:r>
              <w:rPr>
                <w:sz w:val="20"/>
              </w:rPr>
              <w:t>BAIA DA UTM I</w:t>
            </w:r>
          </w:p>
        </w:tc>
        <w:tc>
          <w:tcPr>
            <w:tcW w:w="1547" w:type="dxa"/>
            <w:tcBorders>
              <w:left w:val="nil"/>
              <w:right w:val="nil"/>
            </w:tcBorders>
            <w:shd w:val="clear" w:color="auto" w:fill="D9D9D9"/>
          </w:tcPr>
          <w:p>
            <w:pPr>
              <w:pStyle w:val="TableParagraph"/>
              <w:spacing w:line="223" w:lineRule="exact"/>
              <w:ind w:left="128"/>
              <w:rPr>
                <w:sz w:val="20"/>
              </w:rPr>
            </w:pPr>
            <w:r>
              <w:rPr>
                <w:sz w:val="20"/>
              </w:rPr>
              <w:t>GERDAU</w:t>
            </w:r>
          </w:p>
        </w:tc>
        <w:tc>
          <w:tcPr>
            <w:tcW w:w="1159" w:type="dxa"/>
            <w:tcBorders>
              <w:left w:val="nil"/>
              <w:right w:val="nil"/>
            </w:tcBorders>
            <w:shd w:val="clear" w:color="auto" w:fill="D9D9D9"/>
          </w:tcPr>
          <w:p>
            <w:pPr>
              <w:pStyle w:val="TableParagraph"/>
              <w:spacing w:line="223" w:lineRule="exact"/>
              <w:ind w:left="161" w:right="100"/>
              <w:jc w:val="center"/>
              <w:rPr>
                <w:sz w:val="20"/>
              </w:rPr>
            </w:pPr>
            <w:r>
              <w:rPr>
                <w:sz w:val="20"/>
              </w:rPr>
              <w:t>17</w:t>
            </w:r>
          </w:p>
        </w:tc>
        <w:tc>
          <w:tcPr>
            <w:tcW w:w="1133" w:type="dxa"/>
            <w:tcBorders>
              <w:left w:val="nil"/>
              <w:right w:val="nil"/>
            </w:tcBorders>
            <w:shd w:val="clear" w:color="auto" w:fill="D9D9D9"/>
          </w:tcPr>
          <w:p>
            <w:pPr>
              <w:pStyle w:val="TableParagraph"/>
              <w:spacing w:line="223" w:lineRule="exact"/>
              <w:ind w:left="307"/>
              <w:rPr>
                <w:sz w:val="20"/>
              </w:rPr>
            </w:pPr>
            <w:r>
              <w:rPr>
                <w:sz w:val="20"/>
              </w:rPr>
              <w:t>12.000</w:t>
            </w:r>
          </w:p>
        </w:tc>
        <w:tc>
          <w:tcPr>
            <w:tcW w:w="1998" w:type="dxa"/>
            <w:tcBorders>
              <w:left w:val="nil"/>
            </w:tcBorders>
            <w:shd w:val="clear" w:color="auto" w:fill="D9D9D9"/>
          </w:tcPr>
          <w:p>
            <w:pPr>
              <w:pStyle w:val="TableParagraph"/>
              <w:spacing w:line="223" w:lineRule="exact"/>
              <w:ind w:left="84"/>
              <w:rPr>
                <w:sz w:val="20"/>
              </w:rPr>
            </w:pPr>
            <w:r>
              <w:rPr>
                <w:sz w:val="20"/>
              </w:rPr>
              <w:t>Etapa única</w:t>
            </w:r>
          </w:p>
        </w:tc>
      </w:tr>
      <w:tr>
        <w:trPr>
          <w:trHeight w:val="330" w:hRule="atLeast"/>
        </w:trPr>
        <w:tc>
          <w:tcPr>
            <w:tcW w:w="372" w:type="dxa"/>
            <w:tcBorders>
              <w:top w:val="nil"/>
              <w:bottom w:val="nil"/>
              <w:right w:val="single" w:sz="8" w:space="0" w:color="000000"/>
            </w:tcBorders>
            <w:shd w:val="clear" w:color="auto" w:fill="9CC2E4"/>
          </w:tcPr>
          <w:p>
            <w:pPr>
              <w:pStyle w:val="TableParagraph"/>
              <w:spacing w:line="223" w:lineRule="exact"/>
              <w:ind w:left="1"/>
              <w:jc w:val="center"/>
              <w:rPr>
                <w:sz w:val="20"/>
              </w:rPr>
            </w:pPr>
            <w:r>
              <w:rPr>
                <w:w w:val="99"/>
                <w:sz w:val="20"/>
              </w:rPr>
              <w:t>4</w:t>
            </w:r>
          </w:p>
        </w:tc>
        <w:tc>
          <w:tcPr>
            <w:tcW w:w="3023" w:type="dxa"/>
            <w:tcBorders>
              <w:left w:val="single" w:sz="8" w:space="0" w:color="000000"/>
              <w:right w:val="nil"/>
            </w:tcBorders>
          </w:tcPr>
          <w:p>
            <w:pPr>
              <w:pStyle w:val="TableParagraph"/>
              <w:spacing w:line="223" w:lineRule="exact"/>
              <w:ind w:left="54"/>
              <w:rPr>
                <w:sz w:val="20"/>
              </w:rPr>
            </w:pPr>
            <w:r>
              <w:rPr>
                <w:sz w:val="20"/>
              </w:rPr>
              <w:t>BAIA DA UTM II</w:t>
            </w:r>
          </w:p>
        </w:tc>
        <w:tc>
          <w:tcPr>
            <w:tcW w:w="1547" w:type="dxa"/>
            <w:tcBorders>
              <w:left w:val="nil"/>
              <w:right w:val="nil"/>
            </w:tcBorders>
          </w:tcPr>
          <w:p>
            <w:pPr>
              <w:pStyle w:val="TableParagraph"/>
              <w:spacing w:line="223" w:lineRule="exact"/>
              <w:ind w:left="128"/>
              <w:rPr>
                <w:sz w:val="20"/>
              </w:rPr>
            </w:pPr>
            <w:r>
              <w:rPr>
                <w:sz w:val="20"/>
              </w:rPr>
              <w:t>GERDAU</w:t>
            </w:r>
          </w:p>
        </w:tc>
        <w:tc>
          <w:tcPr>
            <w:tcW w:w="1159" w:type="dxa"/>
            <w:tcBorders>
              <w:left w:val="nil"/>
              <w:right w:val="nil"/>
            </w:tcBorders>
          </w:tcPr>
          <w:p>
            <w:pPr>
              <w:pStyle w:val="TableParagraph"/>
              <w:spacing w:line="223" w:lineRule="exact"/>
              <w:ind w:left="161" w:right="100"/>
              <w:jc w:val="center"/>
              <w:rPr>
                <w:sz w:val="20"/>
              </w:rPr>
            </w:pPr>
            <w:r>
              <w:rPr>
                <w:sz w:val="20"/>
              </w:rPr>
              <w:t>22</w:t>
            </w:r>
          </w:p>
        </w:tc>
        <w:tc>
          <w:tcPr>
            <w:tcW w:w="1133" w:type="dxa"/>
            <w:tcBorders>
              <w:left w:val="nil"/>
              <w:right w:val="nil"/>
            </w:tcBorders>
          </w:tcPr>
          <w:p>
            <w:pPr>
              <w:pStyle w:val="TableParagraph"/>
              <w:spacing w:line="223" w:lineRule="exact"/>
              <w:ind w:left="307"/>
              <w:rPr>
                <w:sz w:val="20"/>
              </w:rPr>
            </w:pPr>
            <w:r>
              <w:rPr>
                <w:sz w:val="20"/>
              </w:rPr>
              <w:t>26.000</w:t>
            </w:r>
          </w:p>
        </w:tc>
        <w:tc>
          <w:tcPr>
            <w:tcW w:w="1998" w:type="dxa"/>
            <w:tcBorders>
              <w:left w:val="nil"/>
            </w:tcBorders>
          </w:tcPr>
          <w:p>
            <w:pPr>
              <w:pStyle w:val="TableParagraph"/>
              <w:spacing w:line="223" w:lineRule="exact"/>
              <w:ind w:left="84"/>
              <w:rPr>
                <w:sz w:val="20"/>
              </w:rPr>
            </w:pPr>
            <w:r>
              <w:rPr>
                <w:sz w:val="20"/>
              </w:rPr>
              <w:t>Etapa única</w:t>
            </w:r>
          </w:p>
        </w:tc>
      </w:tr>
      <w:tr>
        <w:trPr>
          <w:trHeight w:val="331" w:hRule="atLeast"/>
        </w:trPr>
        <w:tc>
          <w:tcPr>
            <w:tcW w:w="372" w:type="dxa"/>
            <w:tcBorders>
              <w:top w:val="nil"/>
              <w:bottom w:val="nil"/>
              <w:right w:val="single" w:sz="8" w:space="0" w:color="000000"/>
            </w:tcBorders>
            <w:shd w:val="clear" w:color="auto" w:fill="9CC2E4"/>
          </w:tcPr>
          <w:p>
            <w:pPr>
              <w:pStyle w:val="TableParagraph"/>
              <w:spacing w:line="224" w:lineRule="exact"/>
              <w:ind w:left="1"/>
              <w:jc w:val="center"/>
              <w:rPr>
                <w:sz w:val="20"/>
              </w:rPr>
            </w:pPr>
            <w:r>
              <w:rPr>
                <w:w w:val="99"/>
                <w:sz w:val="20"/>
              </w:rPr>
              <w:t>5</w:t>
            </w:r>
          </w:p>
        </w:tc>
        <w:tc>
          <w:tcPr>
            <w:tcW w:w="3023" w:type="dxa"/>
            <w:tcBorders>
              <w:left w:val="single" w:sz="8" w:space="0" w:color="000000"/>
              <w:right w:val="nil"/>
            </w:tcBorders>
            <w:shd w:val="clear" w:color="auto" w:fill="D9D9D9"/>
          </w:tcPr>
          <w:p>
            <w:pPr>
              <w:pStyle w:val="TableParagraph"/>
              <w:spacing w:line="224" w:lineRule="exact"/>
              <w:ind w:left="54"/>
              <w:rPr>
                <w:sz w:val="20"/>
              </w:rPr>
            </w:pPr>
            <w:r>
              <w:rPr>
                <w:sz w:val="20"/>
              </w:rPr>
              <w:t>BARNABÉ</w:t>
            </w:r>
          </w:p>
        </w:tc>
        <w:tc>
          <w:tcPr>
            <w:tcW w:w="1547" w:type="dxa"/>
            <w:tcBorders>
              <w:left w:val="nil"/>
              <w:right w:val="nil"/>
            </w:tcBorders>
            <w:shd w:val="clear" w:color="auto" w:fill="D9D9D9"/>
          </w:tcPr>
          <w:p>
            <w:pPr>
              <w:pStyle w:val="TableParagraph"/>
              <w:spacing w:line="224" w:lineRule="exact"/>
              <w:ind w:left="128"/>
              <w:rPr>
                <w:sz w:val="20"/>
              </w:rPr>
            </w:pPr>
            <w:r>
              <w:rPr>
                <w:sz w:val="20"/>
              </w:rPr>
              <w:t>VALE S/A</w:t>
            </w:r>
          </w:p>
        </w:tc>
        <w:tc>
          <w:tcPr>
            <w:tcW w:w="1159" w:type="dxa"/>
            <w:tcBorders>
              <w:left w:val="nil"/>
              <w:right w:val="nil"/>
            </w:tcBorders>
            <w:shd w:val="clear" w:color="auto" w:fill="D9D9D9"/>
          </w:tcPr>
          <w:p>
            <w:pPr>
              <w:pStyle w:val="TableParagraph"/>
              <w:spacing w:line="224" w:lineRule="exact"/>
              <w:ind w:left="161" w:right="100"/>
              <w:jc w:val="center"/>
              <w:rPr>
                <w:sz w:val="20"/>
              </w:rPr>
            </w:pPr>
            <w:r>
              <w:rPr>
                <w:sz w:val="20"/>
              </w:rPr>
              <w:t>25</w:t>
            </w:r>
          </w:p>
        </w:tc>
        <w:tc>
          <w:tcPr>
            <w:tcW w:w="1133" w:type="dxa"/>
            <w:tcBorders>
              <w:left w:val="nil"/>
              <w:right w:val="nil"/>
            </w:tcBorders>
            <w:shd w:val="clear" w:color="auto" w:fill="D9D9D9"/>
          </w:tcPr>
          <w:p>
            <w:pPr>
              <w:pStyle w:val="TableParagraph"/>
              <w:spacing w:line="224" w:lineRule="exact"/>
              <w:ind w:left="257"/>
              <w:rPr>
                <w:sz w:val="20"/>
              </w:rPr>
            </w:pPr>
            <w:r>
              <w:rPr>
                <w:sz w:val="20"/>
              </w:rPr>
              <w:t>318.550</w:t>
            </w:r>
          </w:p>
        </w:tc>
        <w:tc>
          <w:tcPr>
            <w:tcW w:w="1998" w:type="dxa"/>
            <w:tcBorders>
              <w:left w:val="nil"/>
            </w:tcBorders>
            <w:shd w:val="clear" w:color="auto" w:fill="D9D9D9"/>
          </w:tcPr>
          <w:p>
            <w:pPr>
              <w:pStyle w:val="TableParagraph"/>
              <w:spacing w:line="224" w:lineRule="exact"/>
              <w:ind w:left="84"/>
              <w:rPr>
                <w:sz w:val="20"/>
              </w:rPr>
            </w:pPr>
            <w:r>
              <w:rPr>
                <w:sz w:val="20"/>
              </w:rPr>
              <w:t>Alteamento a jusante</w:t>
            </w:r>
          </w:p>
        </w:tc>
      </w:tr>
      <w:tr>
        <w:trPr>
          <w:trHeight w:val="328" w:hRule="atLeast"/>
        </w:trPr>
        <w:tc>
          <w:tcPr>
            <w:tcW w:w="372" w:type="dxa"/>
            <w:tcBorders>
              <w:top w:val="nil"/>
              <w:bottom w:val="nil"/>
              <w:right w:val="single" w:sz="8" w:space="0" w:color="000000"/>
            </w:tcBorders>
            <w:shd w:val="clear" w:color="auto" w:fill="9CC2E4"/>
          </w:tcPr>
          <w:p>
            <w:pPr>
              <w:pStyle w:val="TableParagraph"/>
              <w:spacing w:line="223" w:lineRule="exact"/>
              <w:ind w:left="1"/>
              <w:jc w:val="center"/>
              <w:rPr>
                <w:sz w:val="20"/>
              </w:rPr>
            </w:pPr>
            <w:r>
              <w:rPr>
                <w:w w:val="99"/>
                <w:sz w:val="20"/>
              </w:rPr>
              <w:t>6</w:t>
            </w:r>
          </w:p>
        </w:tc>
        <w:tc>
          <w:tcPr>
            <w:tcW w:w="3023" w:type="dxa"/>
            <w:tcBorders>
              <w:left w:val="single" w:sz="8" w:space="0" w:color="000000"/>
              <w:right w:val="nil"/>
            </w:tcBorders>
          </w:tcPr>
          <w:p>
            <w:pPr>
              <w:pStyle w:val="TableParagraph"/>
              <w:spacing w:line="223" w:lineRule="exact"/>
              <w:ind w:left="54"/>
              <w:rPr>
                <w:sz w:val="20"/>
              </w:rPr>
            </w:pPr>
            <w:r>
              <w:rPr>
                <w:sz w:val="20"/>
              </w:rPr>
              <w:t>BARNABÉ 1</w:t>
            </w:r>
          </w:p>
        </w:tc>
        <w:tc>
          <w:tcPr>
            <w:tcW w:w="1547" w:type="dxa"/>
            <w:tcBorders>
              <w:left w:val="nil"/>
              <w:right w:val="nil"/>
            </w:tcBorders>
          </w:tcPr>
          <w:p>
            <w:pPr>
              <w:pStyle w:val="TableParagraph"/>
              <w:spacing w:line="223" w:lineRule="exact"/>
              <w:ind w:left="128"/>
              <w:rPr>
                <w:sz w:val="20"/>
              </w:rPr>
            </w:pPr>
            <w:r>
              <w:rPr>
                <w:sz w:val="20"/>
              </w:rPr>
              <w:t>VALE S/A</w:t>
            </w:r>
          </w:p>
        </w:tc>
        <w:tc>
          <w:tcPr>
            <w:tcW w:w="1159" w:type="dxa"/>
            <w:tcBorders>
              <w:left w:val="nil"/>
              <w:right w:val="nil"/>
            </w:tcBorders>
          </w:tcPr>
          <w:p>
            <w:pPr>
              <w:pStyle w:val="TableParagraph"/>
              <w:spacing w:line="223" w:lineRule="exact"/>
              <w:ind w:left="161" w:right="100"/>
              <w:jc w:val="center"/>
              <w:rPr>
                <w:sz w:val="20"/>
              </w:rPr>
            </w:pPr>
            <w:r>
              <w:rPr>
                <w:sz w:val="20"/>
              </w:rPr>
              <w:t>33</w:t>
            </w:r>
          </w:p>
        </w:tc>
        <w:tc>
          <w:tcPr>
            <w:tcW w:w="1133" w:type="dxa"/>
            <w:tcBorders>
              <w:left w:val="nil"/>
              <w:right w:val="nil"/>
            </w:tcBorders>
          </w:tcPr>
          <w:p>
            <w:pPr>
              <w:pStyle w:val="TableParagraph"/>
              <w:spacing w:line="223" w:lineRule="exact"/>
              <w:ind w:left="257"/>
              <w:rPr>
                <w:sz w:val="20"/>
              </w:rPr>
            </w:pPr>
            <w:r>
              <w:rPr>
                <w:sz w:val="20"/>
              </w:rPr>
              <w:t>407.524</w:t>
            </w:r>
          </w:p>
        </w:tc>
        <w:tc>
          <w:tcPr>
            <w:tcW w:w="1998" w:type="dxa"/>
            <w:tcBorders>
              <w:left w:val="nil"/>
            </w:tcBorders>
          </w:tcPr>
          <w:p>
            <w:pPr>
              <w:pStyle w:val="TableParagraph"/>
              <w:spacing w:line="223" w:lineRule="exact"/>
              <w:ind w:left="84"/>
              <w:rPr>
                <w:sz w:val="20"/>
              </w:rPr>
            </w:pPr>
            <w:r>
              <w:rPr>
                <w:sz w:val="20"/>
              </w:rPr>
              <w:t>Etapa única</w:t>
            </w:r>
          </w:p>
        </w:tc>
      </w:tr>
      <w:tr>
        <w:trPr>
          <w:trHeight w:val="690" w:hRule="atLeast"/>
        </w:trPr>
        <w:tc>
          <w:tcPr>
            <w:tcW w:w="372" w:type="dxa"/>
            <w:tcBorders>
              <w:top w:val="nil"/>
              <w:bottom w:val="nil"/>
              <w:right w:val="single" w:sz="8" w:space="0" w:color="000000"/>
            </w:tcBorders>
            <w:shd w:val="clear" w:color="auto" w:fill="9CC2E4"/>
          </w:tcPr>
          <w:p>
            <w:pPr>
              <w:pStyle w:val="TableParagraph"/>
              <w:spacing w:line="223" w:lineRule="exact"/>
              <w:ind w:left="1"/>
              <w:jc w:val="center"/>
              <w:rPr>
                <w:sz w:val="20"/>
              </w:rPr>
            </w:pPr>
            <w:r>
              <w:rPr>
                <w:w w:val="99"/>
                <w:sz w:val="20"/>
              </w:rPr>
              <w:t>7</w:t>
            </w:r>
          </w:p>
        </w:tc>
        <w:tc>
          <w:tcPr>
            <w:tcW w:w="3023" w:type="dxa"/>
            <w:tcBorders>
              <w:left w:val="single" w:sz="8" w:space="0" w:color="000000"/>
              <w:right w:val="nil"/>
            </w:tcBorders>
            <w:shd w:val="clear" w:color="auto" w:fill="FF0000"/>
          </w:tcPr>
          <w:p>
            <w:pPr>
              <w:pStyle w:val="TableParagraph"/>
              <w:ind w:left="54" w:right="338"/>
              <w:rPr>
                <w:b/>
                <w:sz w:val="20"/>
              </w:rPr>
            </w:pPr>
            <w:r>
              <w:rPr>
                <w:b/>
                <w:sz w:val="20"/>
              </w:rPr>
              <w:t>BARRAGEM AUXILIAR DO VIGIA</w:t>
            </w:r>
          </w:p>
        </w:tc>
        <w:tc>
          <w:tcPr>
            <w:tcW w:w="1547" w:type="dxa"/>
            <w:tcBorders>
              <w:left w:val="nil"/>
              <w:right w:val="nil"/>
            </w:tcBorders>
            <w:shd w:val="clear" w:color="auto" w:fill="FF0000"/>
          </w:tcPr>
          <w:p>
            <w:pPr>
              <w:pStyle w:val="TableParagraph"/>
              <w:spacing w:line="228" w:lineRule="exact"/>
              <w:ind w:left="128"/>
              <w:rPr>
                <w:b/>
                <w:sz w:val="20"/>
              </w:rPr>
            </w:pPr>
            <w:r>
              <w:rPr>
                <w:b/>
                <w:sz w:val="20"/>
              </w:rPr>
              <w:t>CSN/NAMISA</w:t>
            </w:r>
          </w:p>
        </w:tc>
        <w:tc>
          <w:tcPr>
            <w:tcW w:w="1159" w:type="dxa"/>
            <w:tcBorders>
              <w:left w:val="nil"/>
              <w:right w:val="nil"/>
            </w:tcBorders>
            <w:shd w:val="clear" w:color="auto" w:fill="FF0000"/>
          </w:tcPr>
          <w:p>
            <w:pPr>
              <w:pStyle w:val="TableParagraph"/>
              <w:spacing w:line="228" w:lineRule="exact"/>
              <w:ind w:left="161" w:right="100"/>
              <w:jc w:val="center"/>
              <w:rPr>
                <w:b/>
                <w:sz w:val="20"/>
              </w:rPr>
            </w:pPr>
            <w:r>
              <w:rPr>
                <w:b/>
                <w:sz w:val="20"/>
              </w:rPr>
              <w:t>35</w:t>
            </w:r>
          </w:p>
        </w:tc>
        <w:tc>
          <w:tcPr>
            <w:tcW w:w="1133" w:type="dxa"/>
            <w:tcBorders>
              <w:left w:val="nil"/>
              <w:right w:val="nil"/>
            </w:tcBorders>
            <w:shd w:val="clear" w:color="auto" w:fill="FF0000"/>
          </w:tcPr>
          <w:p>
            <w:pPr>
              <w:pStyle w:val="TableParagraph"/>
              <w:spacing w:line="228" w:lineRule="exact"/>
              <w:ind w:right="148"/>
              <w:jc w:val="right"/>
              <w:rPr>
                <w:b/>
                <w:sz w:val="20"/>
              </w:rPr>
            </w:pPr>
            <w:r>
              <w:rPr>
                <w:b/>
                <w:w w:val="95"/>
                <w:sz w:val="20"/>
              </w:rPr>
              <w:t>3.140.693</w:t>
            </w:r>
          </w:p>
        </w:tc>
        <w:tc>
          <w:tcPr>
            <w:tcW w:w="1998" w:type="dxa"/>
            <w:tcBorders>
              <w:left w:val="nil"/>
            </w:tcBorders>
            <w:shd w:val="clear" w:color="auto" w:fill="FF0000"/>
          </w:tcPr>
          <w:p>
            <w:pPr>
              <w:pStyle w:val="TableParagraph"/>
              <w:ind w:left="84" w:right="449"/>
              <w:rPr>
                <w:b/>
                <w:sz w:val="20"/>
              </w:rPr>
            </w:pPr>
            <w:r>
              <w:rPr>
                <w:b/>
                <w:sz w:val="20"/>
              </w:rPr>
              <w:t>Alteamento a MONTANTE ou</w:t>
            </w:r>
          </w:p>
          <w:p>
            <w:pPr>
              <w:pStyle w:val="TableParagraph"/>
              <w:spacing w:line="212" w:lineRule="exact"/>
              <w:ind w:left="84"/>
              <w:rPr>
                <w:b/>
                <w:sz w:val="20"/>
              </w:rPr>
            </w:pPr>
            <w:r>
              <w:rPr>
                <w:b/>
                <w:sz w:val="20"/>
              </w:rPr>
              <w:t>desconhecido</w:t>
            </w:r>
          </w:p>
        </w:tc>
      </w:tr>
      <w:tr>
        <w:trPr>
          <w:trHeight w:val="688" w:hRule="atLeast"/>
        </w:trPr>
        <w:tc>
          <w:tcPr>
            <w:tcW w:w="372" w:type="dxa"/>
            <w:tcBorders>
              <w:top w:val="nil"/>
              <w:bottom w:val="nil"/>
              <w:right w:val="single" w:sz="8" w:space="0" w:color="000000"/>
            </w:tcBorders>
            <w:shd w:val="clear" w:color="auto" w:fill="9CC2E4"/>
          </w:tcPr>
          <w:p>
            <w:pPr>
              <w:pStyle w:val="TableParagraph"/>
              <w:spacing w:line="223" w:lineRule="exact"/>
              <w:ind w:left="1"/>
              <w:jc w:val="center"/>
              <w:rPr>
                <w:sz w:val="20"/>
              </w:rPr>
            </w:pPr>
            <w:r>
              <w:rPr>
                <w:w w:val="99"/>
                <w:sz w:val="20"/>
              </w:rPr>
              <w:t>8</w:t>
            </w:r>
          </w:p>
        </w:tc>
        <w:tc>
          <w:tcPr>
            <w:tcW w:w="3023" w:type="dxa"/>
            <w:tcBorders>
              <w:left w:val="single" w:sz="8" w:space="0" w:color="000000"/>
              <w:right w:val="nil"/>
            </w:tcBorders>
            <w:shd w:val="clear" w:color="auto" w:fill="FF0000"/>
          </w:tcPr>
          <w:p>
            <w:pPr>
              <w:pStyle w:val="TableParagraph"/>
              <w:spacing w:line="228" w:lineRule="exact"/>
              <w:ind w:left="54"/>
              <w:rPr>
                <w:b/>
                <w:sz w:val="20"/>
              </w:rPr>
            </w:pPr>
            <w:r>
              <w:rPr>
                <w:b/>
                <w:sz w:val="20"/>
              </w:rPr>
              <w:t>BARRAGEM B4</w:t>
            </w:r>
          </w:p>
        </w:tc>
        <w:tc>
          <w:tcPr>
            <w:tcW w:w="1547" w:type="dxa"/>
            <w:tcBorders>
              <w:left w:val="nil"/>
              <w:right w:val="nil"/>
            </w:tcBorders>
            <w:shd w:val="clear" w:color="auto" w:fill="FF0000"/>
          </w:tcPr>
          <w:p>
            <w:pPr>
              <w:pStyle w:val="TableParagraph"/>
              <w:spacing w:line="228" w:lineRule="exact"/>
              <w:ind w:left="128"/>
              <w:rPr>
                <w:b/>
                <w:sz w:val="20"/>
              </w:rPr>
            </w:pPr>
            <w:r>
              <w:rPr>
                <w:b/>
                <w:sz w:val="20"/>
              </w:rPr>
              <w:t>CSN</w:t>
            </w:r>
          </w:p>
        </w:tc>
        <w:tc>
          <w:tcPr>
            <w:tcW w:w="1159" w:type="dxa"/>
            <w:tcBorders>
              <w:left w:val="nil"/>
              <w:right w:val="nil"/>
            </w:tcBorders>
            <w:shd w:val="clear" w:color="auto" w:fill="FF0000"/>
          </w:tcPr>
          <w:p>
            <w:pPr>
              <w:pStyle w:val="TableParagraph"/>
              <w:spacing w:line="228" w:lineRule="exact"/>
              <w:ind w:left="161" w:right="100"/>
              <w:jc w:val="center"/>
              <w:rPr>
                <w:b/>
                <w:sz w:val="20"/>
              </w:rPr>
            </w:pPr>
            <w:r>
              <w:rPr>
                <w:b/>
                <w:sz w:val="20"/>
              </w:rPr>
              <w:t>65</w:t>
            </w:r>
          </w:p>
        </w:tc>
        <w:tc>
          <w:tcPr>
            <w:tcW w:w="1133" w:type="dxa"/>
            <w:tcBorders>
              <w:left w:val="nil"/>
              <w:right w:val="nil"/>
            </w:tcBorders>
            <w:shd w:val="clear" w:color="auto" w:fill="FF0000"/>
          </w:tcPr>
          <w:p>
            <w:pPr>
              <w:pStyle w:val="TableParagraph"/>
              <w:spacing w:line="228" w:lineRule="exact"/>
              <w:ind w:right="98"/>
              <w:jc w:val="right"/>
              <w:rPr>
                <w:b/>
                <w:sz w:val="20"/>
              </w:rPr>
            </w:pPr>
            <w:r>
              <w:rPr>
                <w:b/>
                <w:w w:val="95"/>
                <w:sz w:val="20"/>
              </w:rPr>
              <w:t>13.001.821</w:t>
            </w:r>
          </w:p>
        </w:tc>
        <w:tc>
          <w:tcPr>
            <w:tcW w:w="1998" w:type="dxa"/>
            <w:tcBorders>
              <w:left w:val="nil"/>
            </w:tcBorders>
            <w:shd w:val="clear" w:color="auto" w:fill="FF0000"/>
          </w:tcPr>
          <w:p>
            <w:pPr>
              <w:pStyle w:val="TableParagraph"/>
              <w:ind w:left="84" w:right="449"/>
              <w:rPr>
                <w:b/>
                <w:sz w:val="20"/>
              </w:rPr>
            </w:pPr>
            <w:r>
              <w:rPr>
                <w:b/>
                <w:sz w:val="20"/>
              </w:rPr>
              <w:t>Alteamento a MONTANTE ou</w:t>
            </w:r>
          </w:p>
          <w:p>
            <w:pPr>
              <w:pStyle w:val="TableParagraph"/>
              <w:spacing w:line="210" w:lineRule="exact"/>
              <w:ind w:left="84"/>
              <w:rPr>
                <w:b/>
                <w:sz w:val="20"/>
              </w:rPr>
            </w:pPr>
            <w:r>
              <w:rPr>
                <w:b/>
                <w:sz w:val="20"/>
              </w:rPr>
              <w:t>desconhecido</w:t>
            </w:r>
          </w:p>
        </w:tc>
      </w:tr>
      <w:tr>
        <w:trPr>
          <w:trHeight w:val="330" w:hRule="atLeast"/>
        </w:trPr>
        <w:tc>
          <w:tcPr>
            <w:tcW w:w="372" w:type="dxa"/>
            <w:tcBorders>
              <w:top w:val="nil"/>
              <w:bottom w:val="nil"/>
              <w:right w:val="single" w:sz="8" w:space="0" w:color="000000"/>
            </w:tcBorders>
            <w:shd w:val="clear" w:color="auto" w:fill="9CC2E4"/>
          </w:tcPr>
          <w:p>
            <w:pPr>
              <w:pStyle w:val="TableParagraph"/>
              <w:spacing w:line="225" w:lineRule="exact"/>
              <w:ind w:left="1"/>
              <w:jc w:val="center"/>
              <w:rPr>
                <w:sz w:val="20"/>
              </w:rPr>
            </w:pPr>
            <w:r>
              <w:rPr>
                <w:w w:val="99"/>
                <w:sz w:val="20"/>
              </w:rPr>
              <w:t>9</w:t>
            </w:r>
          </w:p>
        </w:tc>
        <w:tc>
          <w:tcPr>
            <w:tcW w:w="3023" w:type="dxa"/>
            <w:tcBorders>
              <w:left w:val="single" w:sz="8" w:space="0" w:color="000000"/>
              <w:right w:val="nil"/>
            </w:tcBorders>
            <w:shd w:val="clear" w:color="auto" w:fill="D9D9D9"/>
          </w:tcPr>
          <w:p>
            <w:pPr>
              <w:pStyle w:val="TableParagraph"/>
              <w:spacing w:line="225" w:lineRule="exact"/>
              <w:ind w:left="54"/>
              <w:rPr>
                <w:sz w:val="20"/>
              </w:rPr>
            </w:pPr>
            <w:r>
              <w:rPr>
                <w:sz w:val="20"/>
              </w:rPr>
              <w:t>BARRAGEM B5</w:t>
            </w:r>
          </w:p>
        </w:tc>
        <w:tc>
          <w:tcPr>
            <w:tcW w:w="1547" w:type="dxa"/>
            <w:tcBorders>
              <w:left w:val="nil"/>
              <w:right w:val="nil"/>
            </w:tcBorders>
            <w:shd w:val="clear" w:color="auto" w:fill="D9D9D9"/>
          </w:tcPr>
          <w:p>
            <w:pPr>
              <w:pStyle w:val="TableParagraph"/>
              <w:spacing w:line="225" w:lineRule="exact"/>
              <w:ind w:left="128"/>
              <w:rPr>
                <w:sz w:val="20"/>
              </w:rPr>
            </w:pPr>
            <w:r>
              <w:rPr>
                <w:sz w:val="20"/>
              </w:rPr>
              <w:t>CSN</w:t>
            </w:r>
          </w:p>
        </w:tc>
        <w:tc>
          <w:tcPr>
            <w:tcW w:w="1159" w:type="dxa"/>
            <w:tcBorders>
              <w:left w:val="nil"/>
              <w:right w:val="nil"/>
            </w:tcBorders>
            <w:shd w:val="clear" w:color="auto" w:fill="D9D9D9"/>
          </w:tcPr>
          <w:p>
            <w:pPr>
              <w:pStyle w:val="TableParagraph"/>
              <w:spacing w:line="225" w:lineRule="exact"/>
              <w:ind w:left="161" w:right="100"/>
              <w:jc w:val="center"/>
              <w:rPr>
                <w:sz w:val="20"/>
              </w:rPr>
            </w:pPr>
            <w:r>
              <w:rPr>
                <w:sz w:val="20"/>
              </w:rPr>
              <w:t>41</w:t>
            </w:r>
          </w:p>
        </w:tc>
        <w:tc>
          <w:tcPr>
            <w:tcW w:w="1133" w:type="dxa"/>
            <w:tcBorders>
              <w:left w:val="nil"/>
              <w:right w:val="nil"/>
            </w:tcBorders>
            <w:shd w:val="clear" w:color="auto" w:fill="D9D9D9"/>
          </w:tcPr>
          <w:p>
            <w:pPr>
              <w:pStyle w:val="TableParagraph"/>
              <w:spacing w:line="225" w:lineRule="exact"/>
              <w:ind w:right="148"/>
              <w:jc w:val="right"/>
              <w:rPr>
                <w:sz w:val="20"/>
              </w:rPr>
            </w:pPr>
            <w:r>
              <w:rPr>
                <w:w w:val="95"/>
                <w:sz w:val="20"/>
              </w:rPr>
              <w:t>5.393.580</w:t>
            </w:r>
          </w:p>
        </w:tc>
        <w:tc>
          <w:tcPr>
            <w:tcW w:w="1998" w:type="dxa"/>
            <w:tcBorders>
              <w:left w:val="nil"/>
            </w:tcBorders>
            <w:shd w:val="clear" w:color="auto" w:fill="D9D9D9"/>
          </w:tcPr>
          <w:p>
            <w:pPr>
              <w:pStyle w:val="TableParagraph"/>
              <w:spacing w:line="225" w:lineRule="exact"/>
              <w:ind w:left="84"/>
              <w:rPr>
                <w:sz w:val="20"/>
              </w:rPr>
            </w:pPr>
            <w:r>
              <w:rPr>
                <w:sz w:val="20"/>
              </w:rPr>
              <w:t>Etapa única</w:t>
            </w:r>
          </w:p>
        </w:tc>
      </w:tr>
      <w:tr>
        <w:trPr>
          <w:trHeight w:val="330" w:hRule="atLeast"/>
        </w:trPr>
        <w:tc>
          <w:tcPr>
            <w:tcW w:w="372" w:type="dxa"/>
            <w:tcBorders>
              <w:top w:val="nil"/>
              <w:bottom w:val="nil"/>
              <w:right w:val="single" w:sz="8" w:space="0" w:color="000000"/>
            </w:tcBorders>
            <w:shd w:val="clear" w:color="auto" w:fill="9CC2E4"/>
          </w:tcPr>
          <w:p>
            <w:pPr>
              <w:pStyle w:val="TableParagraph"/>
              <w:spacing w:line="223" w:lineRule="exact"/>
              <w:ind w:left="62" w:right="55"/>
              <w:jc w:val="center"/>
              <w:rPr>
                <w:sz w:val="20"/>
              </w:rPr>
            </w:pPr>
            <w:r>
              <w:rPr>
                <w:sz w:val="20"/>
              </w:rPr>
              <w:t>10</w:t>
            </w:r>
          </w:p>
        </w:tc>
        <w:tc>
          <w:tcPr>
            <w:tcW w:w="3023" w:type="dxa"/>
            <w:tcBorders>
              <w:left w:val="single" w:sz="8" w:space="0" w:color="000000"/>
              <w:right w:val="nil"/>
            </w:tcBorders>
          </w:tcPr>
          <w:p>
            <w:pPr>
              <w:pStyle w:val="TableParagraph"/>
              <w:spacing w:line="223" w:lineRule="exact"/>
              <w:ind w:left="54"/>
              <w:rPr>
                <w:sz w:val="20"/>
              </w:rPr>
            </w:pPr>
            <w:r>
              <w:rPr>
                <w:sz w:val="20"/>
              </w:rPr>
              <w:t>BARRAGEM CASA DE PEDRA</w:t>
            </w:r>
          </w:p>
        </w:tc>
        <w:tc>
          <w:tcPr>
            <w:tcW w:w="1547" w:type="dxa"/>
            <w:tcBorders>
              <w:left w:val="nil"/>
              <w:right w:val="nil"/>
            </w:tcBorders>
          </w:tcPr>
          <w:p>
            <w:pPr>
              <w:pStyle w:val="TableParagraph"/>
              <w:spacing w:line="223" w:lineRule="exact"/>
              <w:ind w:left="128"/>
              <w:rPr>
                <w:sz w:val="20"/>
              </w:rPr>
            </w:pPr>
            <w:r>
              <w:rPr>
                <w:sz w:val="20"/>
              </w:rPr>
              <w:t>CSN</w:t>
            </w:r>
          </w:p>
        </w:tc>
        <w:tc>
          <w:tcPr>
            <w:tcW w:w="1159" w:type="dxa"/>
            <w:tcBorders>
              <w:left w:val="nil"/>
              <w:right w:val="nil"/>
            </w:tcBorders>
          </w:tcPr>
          <w:p>
            <w:pPr>
              <w:pStyle w:val="TableParagraph"/>
              <w:spacing w:line="223" w:lineRule="exact"/>
              <w:ind w:left="161" w:right="100"/>
              <w:jc w:val="center"/>
              <w:rPr>
                <w:sz w:val="20"/>
              </w:rPr>
            </w:pPr>
            <w:r>
              <w:rPr>
                <w:sz w:val="20"/>
              </w:rPr>
              <w:t>84</w:t>
            </w:r>
          </w:p>
        </w:tc>
        <w:tc>
          <w:tcPr>
            <w:tcW w:w="1133" w:type="dxa"/>
            <w:tcBorders>
              <w:left w:val="nil"/>
              <w:right w:val="nil"/>
            </w:tcBorders>
          </w:tcPr>
          <w:p>
            <w:pPr>
              <w:pStyle w:val="TableParagraph"/>
              <w:spacing w:line="223" w:lineRule="exact"/>
              <w:ind w:right="98"/>
              <w:jc w:val="right"/>
              <w:rPr>
                <w:sz w:val="20"/>
              </w:rPr>
            </w:pPr>
            <w:r>
              <w:rPr>
                <w:w w:val="95"/>
                <w:sz w:val="20"/>
              </w:rPr>
              <w:t>21.713.715</w:t>
            </w:r>
          </w:p>
        </w:tc>
        <w:tc>
          <w:tcPr>
            <w:tcW w:w="1998" w:type="dxa"/>
            <w:tcBorders>
              <w:left w:val="nil"/>
            </w:tcBorders>
          </w:tcPr>
          <w:p>
            <w:pPr>
              <w:pStyle w:val="TableParagraph"/>
              <w:spacing w:line="223" w:lineRule="exact"/>
              <w:ind w:left="84"/>
              <w:rPr>
                <w:sz w:val="20"/>
              </w:rPr>
            </w:pPr>
            <w:r>
              <w:rPr>
                <w:sz w:val="20"/>
              </w:rPr>
              <w:t>Alteamento a jusante</w:t>
            </w:r>
          </w:p>
        </w:tc>
      </w:tr>
      <w:tr>
        <w:trPr>
          <w:trHeight w:val="328" w:hRule="atLeast"/>
        </w:trPr>
        <w:tc>
          <w:tcPr>
            <w:tcW w:w="372" w:type="dxa"/>
            <w:tcBorders>
              <w:top w:val="nil"/>
              <w:bottom w:val="nil"/>
              <w:right w:val="single" w:sz="8" w:space="0" w:color="000000"/>
            </w:tcBorders>
            <w:shd w:val="clear" w:color="auto" w:fill="9CC2E4"/>
          </w:tcPr>
          <w:p>
            <w:pPr>
              <w:pStyle w:val="TableParagraph"/>
              <w:spacing w:line="223" w:lineRule="exact"/>
              <w:ind w:left="62" w:right="55"/>
              <w:jc w:val="center"/>
              <w:rPr>
                <w:sz w:val="20"/>
              </w:rPr>
            </w:pPr>
            <w:r>
              <w:rPr>
                <w:sz w:val="20"/>
              </w:rPr>
              <w:t>11</w:t>
            </w:r>
          </w:p>
        </w:tc>
        <w:tc>
          <w:tcPr>
            <w:tcW w:w="3023" w:type="dxa"/>
            <w:tcBorders>
              <w:left w:val="single" w:sz="8" w:space="0" w:color="000000"/>
              <w:right w:val="nil"/>
            </w:tcBorders>
            <w:shd w:val="clear" w:color="auto" w:fill="D9D9D9"/>
          </w:tcPr>
          <w:p>
            <w:pPr>
              <w:pStyle w:val="TableParagraph"/>
              <w:spacing w:line="223" w:lineRule="exact"/>
              <w:ind w:left="54"/>
              <w:rPr>
                <w:sz w:val="20"/>
              </w:rPr>
            </w:pPr>
            <w:r>
              <w:rPr>
                <w:sz w:val="20"/>
              </w:rPr>
              <w:t>BARRAGEM DO LAGARTO</w:t>
            </w:r>
          </w:p>
        </w:tc>
        <w:tc>
          <w:tcPr>
            <w:tcW w:w="1547" w:type="dxa"/>
            <w:tcBorders>
              <w:left w:val="nil"/>
              <w:right w:val="nil"/>
            </w:tcBorders>
            <w:shd w:val="clear" w:color="auto" w:fill="D9D9D9"/>
          </w:tcPr>
          <w:p>
            <w:pPr>
              <w:pStyle w:val="TableParagraph"/>
              <w:spacing w:line="223" w:lineRule="exact"/>
              <w:ind w:left="128"/>
              <w:rPr>
                <w:sz w:val="20"/>
              </w:rPr>
            </w:pPr>
            <w:r>
              <w:rPr>
                <w:sz w:val="20"/>
              </w:rPr>
              <w:t>CSN</w:t>
            </w:r>
          </w:p>
        </w:tc>
        <w:tc>
          <w:tcPr>
            <w:tcW w:w="1159" w:type="dxa"/>
            <w:tcBorders>
              <w:left w:val="nil"/>
              <w:right w:val="nil"/>
            </w:tcBorders>
            <w:shd w:val="clear" w:color="auto" w:fill="D9D9D9"/>
          </w:tcPr>
          <w:p>
            <w:pPr>
              <w:pStyle w:val="TableParagraph"/>
              <w:spacing w:line="223" w:lineRule="exact"/>
              <w:ind w:left="55"/>
              <w:jc w:val="center"/>
              <w:rPr>
                <w:sz w:val="20"/>
              </w:rPr>
            </w:pPr>
            <w:r>
              <w:rPr>
                <w:w w:val="99"/>
                <w:sz w:val="20"/>
              </w:rPr>
              <w:t>8</w:t>
            </w:r>
          </w:p>
        </w:tc>
        <w:tc>
          <w:tcPr>
            <w:tcW w:w="1133" w:type="dxa"/>
            <w:tcBorders>
              <w:left w:val="nil"/>
              <w:right w:val="nil"/>
            </w:tcBorders>
            <w:shd w:val="clear" w:color="auto" w:fill="D9D9D9"/>
          </w:tcPr>
          <w:p>
            <w:pPr>
              <w:pStyle w:val="TableParagraph"/>
              <w:spacing w:line="223" w:lineRule="exact"/>
              <w:ind w:left="257"/>
              <w:rPr>
                <w:sz w:val="20"/>
              </w:rPr>
            </w:pPr>
            <w:r>
              <w:rPr>
                <w:sz w:val="20"/>
              </w:rPr>
              <w:t>210.000</w:t>
            </w:r>
          </w:p>
        </w:tc>
        <w:tc>
          <w:tcPr>
            <w:tcW w:w="1998" w:type="dxa"/>
            <w:tcBorders>
              <w:left w:val="nil"/>
            </w:tcBorders>
            <w:shd w:val="clear" w:color="auto" w:fill="D9D9D9"/>
          </w:tcPr>
          <w:p>
            <w:pPr>
              <w:pStyle w:val="TableParagraph"/>
              <w:spacing w:line="223" w:lineRule="exact"/>
              <w:ind w:left="84"/>
              <w:rPr>
                <w:sz w:val="20"/>
              </w:rPr>
            </w:pPr>
            <w:r>
              <w:rPr>
                <w:sz w:val="20"/>
              </w:rPr>
              <w:t>Etapa única</w:t>
            </w:r>
          </w:p>
        </w:tc>
      </w:tr>
      <w:tr>
        <w:trPr>
          <w:trHeight w:val="690" w:hRule="atLeast"/>
        </w:trPr>
        <w:tc>
          <w:tcPr>
            <w:tcW w:w="372" w:type="dxa"/>
            <w:tcBorders>
              <w:top w:val="nil"/>
              <w:bottom w:val="nil"/>
              <w:right w:val="single" w:sz="8" w:space="0" w:color="000000"/>
            </w:tcBorders>
            <w:shd w:val="clear" w:color="auto" w:fill="9CC2E4"/>
          </w:tcPr>
          <w:p>
            <w:pPr>
              <w:pStyle w:val="TableParagraph"/>
              <w:spacing w:line="225" w:lineRule="exact"/>
              <w:ind w:left="62" w:right="55"/>
              <w:jc w:val="center"/>
              <w:rPr>
                <w:sz w:val="20"/>
              </w:rPr>
            </w:pPr>
            <w:r>
              <w:rPr>
                <w:sz w:val="20"/>
              </w:rPr>
              <w:t>12</w:t>
            </w:r>
          </w:p>
        </w:tc>
        <w:tc>
          <w:tcPr>
            <w:tcW w:w="3023" w:type="dxa"/>
            <w:tcBorders>
              <w:left w:val="single" w:sz="8" w:space="0" w:color="000000"/>
              <w:right w:val="nil"/>
            </w:tcBorders>
            <w:shd w:val="clear" w:color="auto" w:fill="FF0000"/>
          </w:tcPr>
          <w:p>
            <w:pPr>
              <w:pStyle w:val="TableParagraph"/>
              <w:ind w:left="54"/>
              <w:rPr>
                <w:b/>
                <w:sz w:val="20"/>
              </w:rPr>
            </w:pPr>
            <w:r>
              <w:rPr>
                <w:b/>
                <w:sz w:val="20"/>
              </w:rPr>
              <w:t>BARRAGEM DO VIGIA</w:t>
            </w:r>
          </w:p>
        </w:tc>
        <w:tc>
          <w:tcPr>
            <w:tcW w:w="1547" w:type="dxa"/>
            <w:tcBorders>
              <w:left w:val="nil"/>
              <w:right w:val="nil"/>
            </w:tcBorders>
            <w:shd w:val="clear" w:color="auto" w:fill="FF0000"/>
          </w:tcPr>
          <w:p>
            <w:pPr>
              <w:pStyle w:val="TableParagraph"/>
              <w:ind w:left="128"/>
              <w:rPr>
                <w:b/>
                <w:sz w:val="20"/>
              </w:rPr>
            </w:pPr>
            <w:r>
              <w:rPr>
                <w:b/>
                <w:sz w:val="20"/>
              </w:rPr>
              <w:t>CSN/NAMISA</w:t>
            </w:r>
          </w:p>
        </w:tc>
        <w:tc>
          <w:tcPr>
            <w:tcW w:w="1159" w:type="dxa"/>
            <w:tcBorders>
              <w:left w:val="nil"/>
              <w:right w:val="nil"/>
            </w:tcBorders>
            <w:shd w:val="clear" w:color="auto" w:fill="FF0000"/>
          </w:tcPr>
          <w:p>
            <w:pPr>
              <w:pStyle w:val="TableParagraph"/>
              <w:ind w:left="161" w:right="100"/>
              <w:jc w:val="center"/>
              <w:rPr>
                <w:b/>
                <w:sz w:val="20"/>
              </w:rPr>
            </w:pPr>
            <w:r>
              <w:rPr>
                <w:b/>
                <w:sz w:val="20"/>
              </w:rPr>
              <w:t>30</w:t>
            </w:r>
          </w:p>
        </w:tc>
        <w:tc>
          <w:tcPr>
            <w:tcW w:w="1133" w:type="dxa"/>
            <w:tcBorders>
              <w:left w:val="nil"/>
              <w:right w:val="nil"/>
            </w:tcBorders>
            <w:shd w:val="clear" w:color="auto" w:fill="FF0000"/>
          </w:tcPr>
          <w:p>
            <w:pPr>
              <w:pStyle w:val="TableParagraph"/>
              <w:ind w:left="257"/>
              <w:rPr>
                <w:b/>
                <w:sz w:val="20"/>
              </w:rPr>
            </w:pPr>
            <w:r>
              <w:rPr>
                <w:b/>
                <w:sz w:val="20"/>
              </w:rPr>
              <w:t>812.901</w:t>
            </w:r>
          </w:p>
        </w:tc>
        <w:tc>
          <w:tcPr>
            <w:tcW w:w="1998" w:type="dxa"/>
            <w:tcBorders>
              <w:left w:val="nil"/>
            </w:tcBorders>
            <w:shd w:val="clear" w:color="auto" w:fill="FF0000"/>
          </w:tcPr>
          <w:p>
            <w:pPr>
              <w:pStyle w:val="TableParagraph"/>
              <w:ind w:left="84" w:right="449"/>
              <w:rPr>
                <w:b/>
                <w:sz w:val="20"/>
              </w:rPr>
            </w:pPr>
            <w:r>
              <w:rPr>
                <w:b/>
                <w:sz w:val="20"/>
              </w:rPr>
              <w:t>Alteamento a MONTANTE ou</w:t>
            </w:r>
          </w:p>
          <w:p>
            <w:pPr>
              <w:pStyle w:val="TableParagraph"/>
              <w:spacing w:line="211" w:lineRule="exact"/>
              <w:ind w:left="84"/>
              <w:rPr>
                <w:b/>
                <w:sz w:val="20"/>
              </w:rPr>
            </w:pPr>
            <w:r>
              <w:rPr>
                <w:b/>
                <w:sz w:val="20"/>
              </w:rPr>
              <w:t>desconhecido</w:t>
            </w:r>
          </w:p>
        </w:tc>
      </w:tr>
      <w:tr>
        <w:trPr>
          <w:trHeight w:val="511" w:hRule="atLeast"/>
        </w:trPr>
        <w:tc>
          <w:tcPr>
            <w:tcW w:w="372" w:type="dxa"/>
            <w:tcBorders>
              <w:top w:val="nil"/>
              <w:bottom w:val="nil"/>
              <w:right w:val="single" w:sz="8" w:space="0" w:color="000000"/>
            </w:tcBorders>
            <w:shd w:val="clear" w:color="auto" w:fill="9CC2E4"/>
          </w:tcPr>
          <w:p>
            <w:pPr>
              <w:pStyle w:val="TableParagraph"/>
              <w:spacing w:line="223" w:lineRule="exact"/>
              <w:ind w:left="62" w:right="55"/>
              <w:jc w:val="center"/>
              <w:rPr>
                <w:sz w:val="20"/>
              </w:rPr>
            </w:pPr>
            <w:r>
              <w:rPr>
                <w:sz w:val="20"/>
              </w:rPr>
              <w:t>13</w:t>
            </w:r>
          </w:p>
        </w:tc>
        <w:tc>
          <w:tcPr>
            <w:tcW w:w="3023" w:type="dxa"/>
            <w:tcBorders>
              <w:left w:val="single" w:sz="8" w:space="0" w:color="000000"/>
              <w:right w:val="nil"/>
            </w:tcBorders>
            <w:shd w:val="clear" w:color="auto" w:fill="D9D9D9"/>
          </w:tcPr>
          <w:p>
            <w:pPr>
              <w:pStyle w:val="TableParagraph"/>
              <w:spacing w:line="223" w:lineRule="exact"/>
              <w:ind w:left="54"/>
              <w:rPr>
                <w:sz w:val="20"/>
              </w:rPr>
            </w:pPr>
            <w:r>
              <w:rPr>
                <w:sz w:val="20"/>
              </w:rPr>
              <w:t>BARRAGEM LAGO SOLEDADE</w:t>
            </w:r>
          </w:p>
        </w:tc>
        <w:tc>
          <w:tcPr>
            <w:tcW w:w="1547" w:type="dxa"/>
            <w:tcBorders>
              <w:left w:val="nil"/>
              <w:right w:val="nil"/>
            </w:tcBorders>
            <w:shd w:val="clear" w:color="auto" w:fill="D9D9D9"/>
          </w:tcPr>
          <w:p>
            <w:pPr>
              <w:pStyle w:val="TableParagraph"/>
              <w:spacing w:line="223" w:lineRule="exact"/>
              <w:ind w:left="128"/>
              <w:rPr>
                <w:sz w:val="20"/>
              </w:rPr>
            </w:pPr>
            <w:r>
              <w:rPr>
                <w:sz w:val="20"/>
              </w:rPr>
              <w:t>GERDAU</w:t>
            </w:r>
          </w:p>
        </w:tc>
        <w:tc>
          <w:tcPr>
            <w:tcW w:w="1159" w:type="dxa"/>
            <w:tcBorders>
              <w:left w:val="nil"/>
              <w:right w:val="nil"/>
            </w:tcBorders>
            <w:shd w:val="clear" w:color="auto" w:fill="D9D9D9"/>
          </w:tcPr>
          <w:p>
            <w:pPr>
              <w:pStyle w:val="TableParagraph"/>
              <w:spacing w:line="223" w:lineRule="exact"/>
              <w:ind w:left="161" w:right="100"/>
              <w:jc w:val="center"/>
              <w:rPr>
                <w:sz w:val="20"/>
              </w:rPr>
            </w:pPr>
            <w:r>
              <w:rPr>
                <w:sz w:val="20"/>
                <w:u w:val="single"/>
              </w:rPr>
              <w:t>50</w:t>
            </w:r>
          </w:p>
        </w:tc>
        <w:tc>
          <w:tcPr>
            <w:tcW w:w="1133" w:type="dxa"/>
            <w:tcBorders>
              <w:left w:val="nil"/>
              <w:right w:val="nil"/>
            </w:tcBorders>
            <w:shd w:val="clear" w:color="auto" w:fill="D9D9D9"/>
          </w:tcPr>
          <w:p>
            <w:pPr>
              <w:pStyle w:val="TableParagraph"/>
              <w:spacing w:line="223" w:lineRule="exact"/>
              <w:ind w:right="98"/>
              <w:jc w:val="right"/>
              <w:rPr>
                <w:sz w:val="20"/>
              </w:rPr>
            </w:pPr>
            <w:r>
              <w:rPr>
                <w:w w:val="95"/>
                <w:sz w:val="20"/>
              </w:rPr>
              <w:t>60.000.000</w:t>
            </w:r>
          </w:p>
        </w:tc>
        <w:tc>
          <w:tcPr>
            <w:tcW w:w="1998" w:type="dxa"/>
            <w:tcBorders>
              <w:left w:val="nil"/>
            </w:tcBorders>
            <w:shd w:val="clear" w:color="auto" w:fill="D9D9D9"/>
          </w:tcPr>
          <w:p>
            <w:pPr>
              <w:pStyle w:val="TableParagraph"/>
              <w:ind w:left="84" w:right="315"/>
              <w:rPr>
                <w:sz w:val="20"/>
              </w:rPr>
            </w:pPr>
            <w:r>
              <w:rPr>
                <w:sz w:val="20"/>
              </w:rPr>
              <w:t>Etapa única/método terra-enroncamento</w:t>
            </w:r>
          </w:p>
        </w:tc>
      </w:tr>
      <w:tr>
        <w:trPr>
          <w:trHeight w:val="299" w:hRule="atLeast"/>
        </w:trPr>
        <w:tc>
          <w:tcPr>
            <w:tcW w:w="372" w:type="dxa"/>
            <w:tcBorders>
              <w:top w:val="nil"/>
              <w:bottom w:val="nil"/>
              <w:right w:val="single" w:sz="8" w:space="0" w:color="000000"/>
            </w:tcBorders>
            <w:shd w:val="clear" w:color="auto" w:fill="9CC2E4"/>
          </w:tcPr>
          <w:p>
            <w:pPr>
              <w:pStyle w:val="TableParagraph"/>
              <w:spacing w:line="223" w:lineRule="exact"/>
              <w:ind w:left="62" w:right="55"/>
              <w:jc w:val="center"/>
              <w:rPr>
                <w:sz w:val="20"/>
              </w:rPr>
            </w:pPr>
            <w:r>
              <w:rPr>
                <w:sz w:val="20"/>
              </w:rPr>
              <w:t>14</w:t>
            </w:r>
          </w:p>
        </w:tc>
        <w:tc>
          <w:tcPr>
            <w:tcW w:w="3023" w:type="dxa"/>
            <w:tcBorders>
              <w:left w:val="single" w:sz="8" w:space="0" w:color="000000"/>
              <w:right w:val="nil"/>
            </w:tcBorders>
          </w:tcPr>
          <w:p>
            <w:pPr>
              <w:pStyle w:val="TableParagraph"/>
              <w:spacing w:line="223" w:lineRule="exact"/>
              <w:ind w:left="54"/>
              <w:rPr>
                <w:sz w:val="20"/>
              </w:rPr>
            </w:pPr>
            <w:r>
              <w:rPr>
                <w:sz w:val="20"/>
              </w:rPr>
              <w:t>BARRAGEM POÇO FUNDO</w:t>
            </w:r>
          </w:p>
        </w:tc>
        <w:tc>
          <w:tcPr>
            <w:tcW w:w="1547" w:type="dxa"/>
            <w:tcBorders>
              <w:left w:val="nil"/>
              <w:right w:val="nil"/>
            </w:tcBorders>
          </w:tcPr>
          <w:p>
            <w:pPr>
              <w:pStyle w:val="TableParagraph"/>
              <w:spacing w:line="223" w:lineRule="exact"/>
              <w:ind w:left="128"/>
              <w:rPr>
                <w:sz w:val="20"/>
              </w:rPr>
            </w:pPr>
            <w:r>
              <w:rPr>
                <w:sz w:val="20"/>
              </w:rPr>
              <w:t>CSN</w:t>
            </w:r>
          </w:p>
        </w:tc>
        <w:tc>
          <w:tcPr>
            <w:tcW w:w="1159" w:type="dxa"/>
            <w:tcBorders>
              <w:left w:val="nil"/>
              <w:right w:val="nil"/>
            </w:tcBorders>
          </w:tcPr>
          <w:p>
            <w:pPr>
              <w:pStyle w:val="TableParagraph"/>
              <w:spacing w:line="223" w:lineRule="exact"/>
              <w:ind w:left="159" w:right="102"/>
              <w:jc w:val="center"/>
              <w:rPr>
                <w:sz w:val="20"/>
              </w:rPr>
            </w:pPr>
            <w:r>
              <w:rPr>
                <w:sz w:val="20"/>
              </w:rPr>
              <w:t>2,88</w:t>
            </w:r>
          </w:p>
        </w:tc>
        <w:tc>
          <w:tcPr>
            <w:tcW w:w="1133" w:type="dxa"/>
            <w:tcBorders>
              <w:left w:val="nil"/>
              <w:right w:val="nil"/>
            </w:tcBorders>
          </w:tcPr>
          <w:p>
            <w:pPr>
              <w:pStyle w:val="TableParagraph"/>
              <w:spacing w:line="223" w:lineRule="exact"/>
              <w:ind w:left="307"/>
              <w:rPr>
                <w:sz w:val="20"/>
              </w:rPr>
            </w:pPr>
            <w:r>
              <w:rPr>
                <w:sz w:val="20"/>
              </w:rPr>
              <w:t>12.000</w:t>
            </w:r>
          </w:p>
        </w:tc>
        <w:tc>
          <w:tcPr>
            <w:tcW w:w="1998" w:type="dxa"/>
            <w:tcBorders>
              <w:left w:val="nil"/>
            </w:tcBorders>
          </w:tcPr>
          <w:p>
            <w:pPr>
              <w:pStyle w:val="TableParagraph"/>
              <w:spacing w:line="223" w:lineRule="exact"/>
              <w:ind w:left="84"/>
              <w:rPr>
                <w:sz w:val="20"/>
              </w:rPr>
            </w:pPr>
            <w:r>
              <w:rPr>
                <w:sz w:val="20"/>
              </w:rPr>
              <w:t>Etapa única</w:t>
            </w:r>
          </w:p>
        </w:tc>
      </w:tr>
      <w:tr>
        <w:trPr>
          <w:trHeight w:val="690" w:hRule="atLeast"/>
        </w:trPr>
        <w:tc>
          <w:tcPr>
            <w:tcW w:w="372" w:type="dxa"/>
            <w:tcBorders>
              <w:top w:val="nil"/>
              <w:bottom w:val="nil"/>
              <w:right w:val="single" w:sz="8" w:space="0" w:color="000000"/>
            </w:tcBorders>
            <w:shd w:val="clear" w:color="auto" w:fill="9CC2E4"/>
          </w:tcPr>
          <w:p>
            <w:pPr>
              <w:pStyle w:val="TableParagraph"/>
              <w:spacing w:line="223" w:lineRule="exact"/>
              <w:ind w:left="62" w:right="55"/>
              <w:jc w:val="center"/>
              <w:rPr>
                <w:sz w:val="20"/>
              </w:rPr>
            </w:pPr>
            <w:r>
              <w:rPr>
                <w:sz w:val="20"/>
              </w:rPr>
              <w:t>15</w:t>
            </w:r>
          </w:p>
        </w:tc>
        <w:tc>
          <w:tcPr>
            <w:tcW w:w="3023" w:type="dxa"/>
            <w:tcBorders>
              <w:left w:val="single" w:sz="8" w:space="0" w:color="000000"/>
              <w:right w:val="nil"/>
            </w:tcBorders>
            <w:shd w:val="clear" w:color="auto" w:fill="FF0000"/>
          </w:tcPr>
          <w:p>
            <w:pPr>
              <w:pStyle w:val="TableParagraph"/>
              <w:spacing w:line="228" w:lineRule="exact"/>
              <w:ind w:left="54"/>
              <w:rPr>
                <w:b/>
                <w:sz w:val="20"/>
              </w:rPr>
            </w:pPr>
            <w:r>
              <w:rPr>
                <w:b/>
                <w:sz w:val="20"/>
              </w:rPr>
              <w:t>BOCAINA</w:t>
            </w:r>
          </w:p>
        </w:tc>
        <w:tc>
          <w:tcPr>
            <w:tcW w:w="1547" w:type="dxa"/>
            <w:tcBorders>
              <w:left w:val="nil"/>
              <w:right w:val="nil"/>
            </w:tcBorders>
            <w:shd w:val="clear" w:color="auto" w:fill="FF0000"/>
          </w:tcPr>
          <w:p>
            <w:pPr>
              <w:pStyle w:val="TableParagraph"/>
              <w:spacing w:line="228" w:lineRule="exact"/>
              <w:ind w:left="128"/>
              <w:rPr>
                <w:b/>
                <w:sz w:val="20"/>
              </w:rPr>
            </w:pPr>
            <w:r>
              <w:rPr>
                <w:b/>
                <w:sz w:val="20"/>
              </w:rPr>
              <w:t>GERDAU</w:t>
            </w:r>
          </w:p>
        </w:tc>
        <w:tc>
          <w:tcPr>
            <w:tcW w:w="1159" w:type="dxa"/>
            <w:tcBorders>
              <w:left w:val="nil"/>
              <w:right w:val="nil"/>
            </w:tcBorders>
            <w:shd w:val="clear" w:color="auto" w:fill="FF0000"/>
          </w:tcPr>
          <w:p>
            <w:pPr>
              <w:pStyle w:val="TableParagraph"/>
              <w:spacing w:line="228" w:lineRule="exact"/>
              <w:ind w:left="161" w:right="100"/>
              <w:jc w:val="center"/>
              <w:rPr>
                <w:b/>
                <w:sz w:val="20"/>
              </w:rPr>
            </w:pPr>
            <w:r>
              <w:rPr>
                <w:b/>
                <w:sz w:val="20"/>
              </w:rPr>
              <w:t>56</w:t>
            </w:r>
          </w:p>
        </w:tc>
        <w:tc>
          <w:tcPr>
            <w:tcW w:w="1133" w:type="dxa"/>
            <w:tcBorders>
              <w:left w:val="nil"/>
              <w:right w:val="nil"/>
            </w:tcBorders>
            <w:shd w:val="clear" w:color="auto" w:fill="FF0000"/>
          </w:tcPr>
          <w:p>
            <w:pPr>
              <w:pStyle w:val="TableParagraph"/>
              <w:spacing w:line="228" w:lineRule="exact"/>
              <w:ind w:left="257"/>
              <w:rPr>
                <w:b/>
                <w:sz w:val="20"/>
              </w:rPr>
            </w:pPr>
            <w:r>
              <w:rPr>
                <w:b/>
                <w:sz w:val="20"/>
              </w:rPr>
              <w:t>955.000</w:t>
            </w:r>
          </w:p>
        </w:tc>
        <w:tc>
          <w:tcPr>
            <w:tcW w:w="1998" w:type="dxa"/>
            <w:tcBorders>
              <w:left w:val="nil"/>
            </w:tcBorders>
            <w:shd w:val="clear" w:color="auto" w:fill="FF0000"/>
          </w:tcPr>
          <w:p>
            <w:pPr>
              <w:pStyle w:val="TableParagraph"/>
              <w:ind w:left="84" w:right="449"/>
              <w:rPr>
                <w:b/>
                <w:sz w:val="20"/>
              </w:rPr>
            </w:pPr>
            <w:r>
              <w:rPr>
                <w:b/>
                <w:sz w:val="20"/>
              </w:rPr>
              <w:t>Alteamento a MONTANTE ou</w:t>
            </w:r>
          </w:p>
          <w:p>
            <w:pPr>
              <w:pStyle w:val="TableParagraph"/>
              <w:spacing w:line="212" w:lineRule="exact"/>
              <w:ind w:left="84"/>
              <w:rPr>
                <w:b/>
                <w:sz w:val="20"/>
              </w:rPr>
            </w:pPr>
            <w:r>
              <w:rPr>
                <w:b/>
                <w:sz w:val="20"/>
              </w:rPr>
              <w:t>desconhecido</w:t>
            </w:r>
          </w:p>
        </w:tc>
      </w:tr>
      <w:tr>
        <w:trPr>
          <w:trHeight w:val="328" w:hRule="atLeast"/>
        </w:trPr>
        <w:tc>
          <w:tcPr>
            <w:tcW w:w="372" w:type="dxa"/>
            <w:tcBorders>
              <w:top w:val="nil"/>
              <w:bottom w:val="nil"/>
              <w:right w:val="single" w:sz="8" w:space="0" w:color="000000"/>
            </w:tcBorders>
            <w:shd w:val="clear" w:color="auto" w:fill="9CC2E4"/>
          </w:tcPr>
          <w:p>
            <w:pPr>
              <w:pStyle w:val="TableParagraph"/>
              <w:spacing w:line="223" w:lineRule="exact"/>
              <w:ind w:left="62" w:right="55"/>
              <w:jc w:val="center"/>
              <w:rPr>
                <w:sz w:val="20"/>
              </w:rPr>
            </w:pPr>
            <w:r>
              <w:rPr>
                <w:sz w:val="20"/>
              </w:rPr>
              <w:t>16</w:t>
            </w:r>
          </w:p>
        </w:tc>
        <w:tc>
          <w:tcPr>
            <w:tcW w:w="3023" w:type="dxa"/>
            <w:tcBorders>
              <w:left w:val="single" w:sz="8" w:space="0" w:color="000000"/>
              <w:right w:val="nil"/>
            </w:tcBorders>
          </w:tcPr>
          <w:p>
            <w:pPr>
              <w:pStyle w:val="TableParagraph"/>
              <w:spacing w:line="223" w:lineRule="exact"/>
              <w:ind w:left="54"/>
              <w:rPr>
                <w:sz w:val="20"/>
              </w:rPr>
            </w:pPr>
            <w:r>
              <w:rPr>
                <w:sz w:val="20"/>
              </w:rPr>
              <w:t>CLARIFICAÇÃO BOCAINA</w:t>
            </w:r>
          </w:p>
        </w:tc>
        <w:tc>
          <w:tcPr>
            <w:tcW w:w="1547" w:type="dxa"/>
            <w:tcBorders>
              <w:left w:val="nil"/>
              <w:right w:val="nil"/>
            </w:tcBorders>
          </w:tcPr>
          <w:p>
            <w:pPr>
              <w:pStyle w:val="TableParagraph"/>
              <w:spacing w:line="223" w:lineRule="exact"/>
              <w:ind w:left="128"/>
              <w:rPr>
                <w:sz w:val="20"/>
              </w:rPr>
            </w:pPr>
            <w:r>
              <w:rPr>
                <w:sz w:val="20"/>
              </w:rPr>
              <w:t>GERDAU</w:t>
            </w:r>
          </w:p>
        </w:tc>
        <w:tc>
          <w:tcPr>
            <w:tcW w:w="1159" w:type="dxa"/>
            <w:tcBorders>
              <w:left w:val="nil"/>
              <w:right w:val="nil"/>
            </w:tcBorders>
          </w:tcPr>
          <w:p>
            <w:pPr>
              <w:pStyle w:val="TableParagraph"/>
              <w:spacing w:line="223" w:lineRule="exact"/>
              <w:ind w:left="161" w:right="100"/>
              <w:jc w:val="center"/>
              <w:rPr>
                <w:sz w:val="20"/>
              </w:rPr>
            </w:pPr>
            <w:r>
              <w:rPr>
                <w:sz w:val="20"/>
              </w:rPr>
              <w:t>21</w:t>
            </w:r>
          </w:p>
        </w:tc>
        <w:tc>
          <w:tcPr>
            <w:tcW w:w="1133" w:type="dxa"/>
            <w:tcBorders>
              <w:left w:val="nil"/>
              <w:right w:val="nil"/>
            </w:tcBorders>
          </w:tcPr>
          <w:p>
            <w:pPr>
              <w:pStyle w:val="TableParagraph"/>
              <w:spacing w:line="223" w:lineRule="exact"/>
              <w:ind w:left="358"/>
              <w:rPr>
                <w:sz w:val="20"/>
              </w:rPr>
            </w:pPr>
            <w:r>
              <w:rPr>
                <w:sz w:val="20"/>
              </w:rPr>
              <w:t>9.126</w:t>
            </w:r>
          </w:p>
        </w:tc>
        <w:tc>
          <w:tcPr>
            <w:tcW w:w="1998" w:type="dxa"/>
            <w:tcBorders>
              <w:left w:val="nil"/>
            </w:tcBorders>
          </w:tcPr>
          <w:p>
            <w:pPr>
              <w:pStyle w:val="TableParagraph"/>
              <w:spacing w:line="223" w:lineRule="exact"/>
              <w:ind w:left="84"/>
              <w:rPr>
                <w:sz w:val="20"/>
              </w:rPr>
            </w:pPr>
            <w:r>
              <w:rPr>
                <w:sz w:val="20"/>
              </w:rPr>
              <w:t>Etapa única</w:t>
            </w:r>
          </w:p>
        </w:tc>
      </w:tr>
      <w:tr>
        <w:trPr>
          <w:trHeight w:val="330" w:hRule="atLeast"/>
        </w:trPr>
        <w:tc>
          <w:tcPr>
            <w:tcW w:w="372" w:type="dxa"/>
            <w:tcBorders>
              <w:top w:val="nil"/>
              <w:bottom w:val="nil"/>
              <w:right w:val="single" w:sz="8" w:space="0" w:color="000000"/>
            </w:tcBorders>
            <w:shd w:val="clear" w:color="auto" w:fill="9CC2E4"/>
          </w:tcPr>
          <w:p>
            <w:pPr>
              <w:pStyle w:val="TableParagraph"/>
              <w:spacing w:line="223" w:lineRule="exact"/>
              <w:ind w:left="62" w:right="55"/>
              <w:jc w:val="center"/>
              <w:rPr>
                <w:sz w:val="20"/>
              </w:rPr>
            </w:pPr>
            <w:r>
              <w:rPr>
                <w:sz w:val="20"/>
              </w:rPr>
              <w:t>17</w:t>
            </w:r>
          </w:p>
        </w:tc>
        <w:tc>
          <w:tcPr>
            <w:tcW w:w="3023" w:type="dxa"/>
            <w:tcBorders>
              <w:left w:val="single" w:sz="8" w:space="0" w:color="000000"/>
              <w:right w:val="nil"/>
            </w:tcBorders>
            <w:shd w:val="clear" w:color="auto" w:fill="D9D9D9"/>
          </w:tcPr>
          <w:p>
            <w:pPr>
              <w:pStyle w:val="TableParagraph"/>
              <w:spacing w:line="223" w:lineRule="exact"/>
              <w:ind w:left="54"/>
              <w:rPr>
                <w:sz w:val="20"/>
              </w:rPr>
            </w:pPr>
            <w:r>
              <w:rPr>
                <w:sz w:val="20"/>
              </w:rPr>
              <w:t>CONJUNTO DE BAIAS VIGA</w:t>
            </w:r>
          </w:p>
        </w:tc>
        <w:tc>
          <w:tcPr>
            <w:tcW w:w="1547" w:type="dxa"/>
            <w:tcBorders>
              <w:left w:val="nil"/>
              <w:right w:val="nil"/>
            </w:tcBorders>
            <w:shd w:val="clear" w:color="auto" w:fill="D9D9D9"/>
          </w:tcPr>
          <w:p>
            <w:pPr>
              <w:pStyle w:val="TableParagraph"/>
              <w:spacing w:line="223" w:lineRule="exact"/>
              <w:ind w:left="128"/>
              <w:rPr>
                <w:sz w:val="20"/>
              </w:rPr>
            </w:pPr>
            <w:r>
              <w:rPr>
                <w:sz w:val="20"/>
              </w:rPr>
              <w:t>FERROUS</w:t>
            </w:r>
          </w:p>
        </w:tc>
        <w:tc>
          <w:tcPr>
            <w:tcW w:w="1159" w:type="dxa"/>
            <w:tcBorders>
              <w:left w:val="nil"/>
              <w:right w:val="nil"/>
            </w:tcBorders>
            <w:shd w:val="clear" w:color="auto" w:fill="D9D9D9"/>
          </w:tcPr>
          <w:p>
            <w:pPr>
              <w:pStyle w:val="TableParagraph"/>
              <w:spacing w:line="223" w:lineRule="exact"/>
              <w:ind w:left="55"/>
              <w:jc w:val="center"/>
              <w:rPr>
                <w:sz w:val="20"/>
              </w:rPr>
            </w:pPr>
            <w:r>
              <w:rPr>
                <w:w w:val="99"/>
                <w:sz w:val="20"/>
              </w:rPr>
              <w:t>9</w:t>
            </w:r>
          </w:p>
        </w:tc>
        <w:tc>
          <w:tcPr>
            <w:tcW w:w="1133" w:type="dxa"/>
            <w:tcBorders>
              <w:left w:val="nil"/>
              <w:right w:val="nil"/>
            </w:tcBorders>
            <w:shd w:val="clear" w:color="auto" w:fill="D9D9D9"/>
          </w:tcPr>
          <w:p>
            <w:pPr>
              <w:pStyle w:val="TableParagraph"/>
              <w:spacing w:line="223" w:lineRule="exact"/>
              <w:ind w:left="307"/>
              <w:rPr>
                <w:sz w:val="20"/>
              </w:rPr>
            </w:pPr>
            <w:r>
              <w:rPr>
                <w:sz w:val="20"/>
              </w:rPr>
              <w:t>70.613</w:t>
            </w:r>
          </w:p>
        </w:tc>
        <w:tc>
          <w:tcPr>
            <w:tcW w:w="1998" w:type="dxa"/>
            <w:tcBorders>
              <w:left w:val="nil"/>
            </w:tcBorders>
            <w:shd w:val="clear" w:color="auto" w:fill="D9D9D9"/>
          </w:tcPr>
          <w:p>
            <w:pPr>
              <w:pStyle w:val="TableParagraph"/>
              <w:spacing w:line="223" w:lineRule="exact"/>
              <w:ind w:left="84"/>
              <w:rPr>
                <w:sz w:val="20"/>
              </w:rPr>
            </w:pPr>
            <w:r>
              <w:rPr>
                <w:sz w:val="20"/>
              </w:rPr>
              <w:t>Etapa única</w:t>
            </w:r>
          </w:p>
        </w:tc>
      </w:tr>
      <w:tr>
        <w:trPr>
          <w:trHeight w:val="330" w:hRule="atLeast"/>
        </w:trPr>
        <w:tc>
          <w:tcPr>
            <w:tcW w:w="372" w:type="dxa"/>
            <w:tcBorders>
              <w:top w:val="nil"/>
              <w:bottom w:val="nil"/>
              <w:right w:val="single" w:sz="8" w:space="0" w:color="000000"/>
            </w:tcBorders>
            <w:shd w:val="clear" w:color="auto" w:fill="9CC2E4"/>
          </w:tcPr>
          <w:p>
            <w:pPr>
              <w:pStyle w:val="TableParagraph"/>
              <w:spacing w:line="223" w:lineRule="exact"/>
              <w:ind w:left="62" w:right="55"/>
              <w:jc w:val="center"/>
              <w:rPr>
                <w:sz w:val="20"/>
              </w:rPr>
            </w:pPr>
            <w:r>
              <w:rPr>
                <w:sz w:val="20"/>
              </w:rPr>
              <w:t>18</w:t>
            </w:r>
          </w:p>
        </w:tc>
        <w:tc>
          <w:tcPr>
            <w:tcW w:w="3023" w:type="dxa"/>
            <w:tcBorders>
              <w:left w:val="single" w:sz="8" w:space="0" w:color="000000"/>
              <w:right w:val="nil"/>
            </w:tcBorders>
          </w:tcPr>
          <w:p>
            <w:pPr>
              <w:pStyle w:val="TableParagraph"/>
              <w:spacing w:line="223" w:lineRule="exact"/>
              <w:ind w:left="54"/>
              <w:rPr>
                <w:sz w:val="20"/>
              </w:rPr>
            </w:pPr>
            <w:r>
              <w:rPr>
                <w:sz w:val="20"/>
              </w:rPr>
              <w:t>DIQUE 11 - DIQUE DO SIRÊNIO</w:t>
            </w:r>
          </w:p>
        </w:tc>
        <w:tc>
          <w:tcPr>
            <w:tcW w:w="1547" w:type="dxa"/>
            <w:tcBorders>
              <w:left w:val="nil"/>
              <w:right w:val="nil"/>
            </w:tcBorders>
          </w:tcPr>
          <w:p>
            <w:pPr>
              <w:pStyle w:val="TableParagraph"/>
              <w:spacing w:line="223" w:lineRule="exact"/>
              <w:ind w:left="128"/>
              <w:rPr>
                <w:sz w:val="20"/>
              </w:rPr>
            </w:pPr>
            <w:r>
              <w:rPr>
                <w:sz w:val="20"/>
              </w:rPr>
              <w:t>CSN</w:t>
            </w:r>
          </w:p>
        </w:tc>
        <w:tc>
          <w:tcPr>
            <w:tcW w:w="1159" w:type="dxa"/>
            <w:tcBorders>
              <w:left w:val="nil"/>
              <w:right w:val="nil"/>
            </w:tcBorders>
          </w:tcPr>
          <w:p>
            <w:pPr>
              <w:pStyle w:val="TableParagraph"/>
              <w:spacing w:line="223" w:lineRule="exact"/>
              <w:ind w:left="55"/>
              <w:jc w:val="center"/>
              <w:rPr>
                <w:sz w:val="20"/>
              </w:rPr>
            </w:pPr>
            <w:r>
              <w:rPr>
                <w:color w:val="FF0000"/>
                <w:w w:val="99"/>
                <w:sz w:val="20"/>
              </w:rPr>
              <w:t>x</w:t>
            </w:r>
          </w:p>
        </w:tc>
        <w:tc>
          <w:tcPr>
            <w:tcW w:w="1133" w:type="dxa"/>
            <w:tcBorders>
              <w:left w:val="nil"/>
              <w:right w:val="nil"/>
            </w:tcBorders>
          </w:tcPr>
          <w:p>
            <w:pPr>
              <w:pStyle w:val="TableParagraph"/>
              <w:spacing w:line="223" w:lineRule="exact"/>
              <w:ind w:left="33"/>
              <w:jc w:val="center"/>
              <w:rPr>
                <w:sz w:val="20"/>
              </w:rPr>
            </w:pPr>
            <w:r>
              <w:rPr>
                <w:color w:val="FF0000"/>
                <w:w w:val="99"/>
                <w:sz w:val="20"/>
              </w:rPr>
              <w:t>x</w:t>
            </w:r>
          </w:p>
        </w:tc>
        <w:tc>
          <w:tcPr>
            <w:tcW w:w="1998" w:type="dxa"/>
            <w:tcBorders>
              <w:left w:val="nil"/>
            </w:tcBorders>
          </w:tcPr>
          <w:p>
            <w:pPr>
              <w:pStyle w:val="TableParagraph"/>
              <w:spacing w:line="223" w:lineRule="exact"/>
              <w:ind w:left="84"/>
              <w:rPr>
                <w:sz w:val="20"/>
              </w:rPr>
            </w:pPr>
            <w:r>
              <w:rPr>
                <w:sz w:val="20"/>
              </w:rPr>
              <w:t>Etapa única</w:t>
            </w:r>
          </w:p>
        </w:tc>
      </w:tr>
      <w:tr>
        <w:trPr>
          <w:trHeight w:val="328" w:hRule="atLeast"/>
        </w:trPr>
        <w:tc>
          <w:tcPr>
            <w:tcW w:w="372" w:type="dxa"/>
            <w:tcBorders>
              <w:top w:val="nil"/>
              <w:bottom w:val="nil"/>
              <w:right w:val="single" w:sz="8" w:space="0" w:color="000000"/>
            </w:tcBorders>
            <w:shd w:val="clear" w:color="auto" w:fill="9CC2E4"/>
          </w:tcPr>
          <w:p>
            <w:pPr>
              <w:pStyle w:val="TableParagraph"/>
              <w:spacing w:line="223" w:lineRule="exact"/>
              <w:ind w:left="62" w:right="55"/>
              <w:jc w:val="center"/>
              <w:rPr>
                <w:sz w:val="20"/>
              </w:rPr>
            </w:pPr>
            <w:r>
              <w:rPr>
                <w:sz w:val="20"/>
              </w:rPr>
              <w:t>19</w:t>
            </w:r>
          </w:p>
        </w:tc>
        <w:tc>
          <w:tcPr>
            <w:tcW w:w="3023" w:type="dxa"/>
            <w:tcBorders>
              <w:left w:val="single" w:sz="8" w:space="0" w:color="000000"/>
              <w:right w:val="nil"/>
            </w:tcBorders>
            <w:shd w:val="clear" w:color="auto" w:fill="D9D9D9"/>
          </w:tcPr>
          <w:p>
            <w:pPr>
              <w:pStyle w:val="TableParagraph"/>
              <w:spacing w:line="223" w:lineRule="exact"/>
              <w:ind w:left="54"/>
              <w:rPr>
                <w:sz w:val="20"/>
              </w:rPr>
            </w:pPr>
            <w:r>
              <w:rPr>
                <w:sz w:val="20"/>
              </w:rPr>
              <w:t>DIQUE BATATEIRO DE BAIXO</w:t>
            </w:r>
          </w:p>
        </w:tc>
        <w:tc>
          <w:tcPr>
            <w:tcW w:w="1547" w:type="dxa"/>
            <w:tcBorders>
              <w:left w:val="nil"/>
              <w:right w:val="nil"/>
            </w:tcBorders>
            <w:shd w:val="clear" w:color="auto" w:fill="D9D9D9"/>
          </w:tcPr>
          <w:p>
            <w:pPr>
              <w:pStyle w:val="TableParagraph"/>
              <w:spacing w:line="223" w:lineRule="exact"/>
              <w:ind w:left="128"/>
              <w:rPr>
                <w:sz w:val="20"/>
              </w:rPr>
            </w:pPr>
            <w:r>
              <w:rPr>
                <w:sz w:val="20"/>
              </w:rPr>
              <w:t>CSN</w:t>
            </w:r>
          </w:p>
        </w:tc>
        <w:tc>
          <w:tcPr>
            <w:tcW w:w="1159" w:type="dxa"/>
            <w:tcBorders>
              <w:left w:val="nil"/>
              <w:right w:val="nil"/>
            </w:tcBorders>
            <w:shd w:val="clear" w:color="auto" w:fill="D9D9D9"/>
          </w:tcPr>
          <w:p>
            <w:pPr>
              <w:pStyle w:val="TableParagraph"/>
              <w:spacing w:line="223" w:lineRule="exact"/>
              <w:ind w:left="161" w:right="100"/>
              <w:jc w:val="center"/>
              <w:rPr>
                <w:sz w:val="20"/>
              </w:rPr>
            </w:pPr>
            <w:r>
              <w:rPr>
                <w:sz w:val="20"/>
              </w:rPr>
              <w:t>16</w:t>
            </w:r>
          </w:p>
        </w:tc>
        <w:tc>
          <w:tcPr>
            <w:tcW w:w="1133" w:type="dxa"/>
            <w:tcBorders>
              <w:left w:val="nil"/>
              <w:right w:val="nil"/>
            </w:tcBorders>
            <w:shd w:val="clear" w:color="auto" w:fill="D9D9D9"/>
          </w:tcPr>
          <w:p>
            <w:pPr>
              <w:pStyle w:val="TableParagraph"/>
              <w:spacing w:line="223" w:lineRule="exact"/>
              <w:ind w:left="307"/>
              <w:rPr>
                <w:sz w:val="20"/>
              </w:rPr>
            </w:pPr>
            <w:r>
              <w:rPr>
                <w:sz w:val="20"/>
              </w:rPr>
              <w:t>18.300</w:t>
            </w:r>
          </w:p>
        </w:tc>
        <w:tc>
          <w:tcPr>
            <w:tcW w:w="1998" w:type="dxa"/>
            <w:tcBorders>
              <w:left w:val="nil"/>
            </w:tcBorders>
            <w:shd w:val="clear" w:color="auto" w:fill="D9D9D9"/>
          </w:tcPr>
          <w:p>
            <w:pPr>
              <w:pStyle w:val="TableParagraph"/>
              <w:spacing w:line="223" w:lineRule="exact"/>
              <w:ind w:left="84"/>
              <w:rPr>
                <w:sz w:val="20"/>
              </w:rPr>
            </w:pPr>
            <w:r>
              <w:rPr>
                <w:sz w:val="20"/>
              </w:rPr>
              <w:t>Etapa única</w:t>
            </w:r>
          </w:p>
        </w:tc>
      </w:tr>
      <w:tr>
        <w:trPr>
          <w:trHeight w:val="330" w:hRule="atLeast"/>
        </w:trPr>
        <w:tc>
          <w:tcPr>
            <w:tcW w:w="372" w:type="dxa"/>
            <w:tcBorders>
              <w:top w:val="nil"/>
              <w:bottom w:val="nil"/>
              <w:right w:val="single" w:sz="8" w:space="0" w:color="000000"/>
            </w:tcBorders>
            <w:shd w:val="clear" w:color="auto" w:fill="9CC2E4"/>
          </w:tcPr>
          <w:p>
            <w:pPr>
              <w:pStyle w:val="TableParagraph"/>
              <w:spacing w:line="223" w:lineRule="exact"/>
              <w:ind w:left="62" w:right="55"/>
              <w:jc w:val="center"/>
              <w:rPr>
                <w:sz w:val="20"/>
              </w:rPr>
            </w:pPr>
            <w:r>
              <w:rPr>
                <w:sz w:val="20"/>
              </w:rPr>
              <w:t>20</w:t>
            </w:r>
          </w:p>
        </w:tc>
        <w:tc>
          <w:tcPr>
            <w:tcW w:w="3023" w:type="dxa"/>
            <w:tcBorders>
              <w:left w:val="single" w:sz="8" w:space="0" w:color="000000"/>
              <w:right w:val="nil"/>
            </w:tcBorders>
          </w:tcPr>
          <w:p>
            <w:pPr>
              <w:pStyle w:val="TableParagraph"/>
              <w:spacing w:line="223" w:lineRule="exact"/>
              <w:ind w:left="54"/>
              <w:rPr>
                <w:sz w:val="20"/>
              </w:rPr>
            </w:pPr>
            <w:r>
              <w:rPr>
                <w:sz w:val="20"/>
              </w:rPr>
              <w:t>DIQUE DA PILHA DA VILA II</w:t>
            </w:r>
          </w:p>
        </w:tc>
        <w:tc>
          <w:tcPr>
            <w:tcW w:w="1547" w:type="dxa"/>
            <w:tcBorders>
              <w:left w:val="nil"/>
              <w:right w:val="nil"/>
            </w:tcBorders>
          </w:tcPr>
          <w:p>
            <w:pPr>
              <w:pStyle w:val="TableParagraph"/>
              <w:spacing w:line="223" w:lineRule="exact"/>
              <w:ind w:left="128"/>
              <w:rPr>
                <w:sz w:val="20"/>
              </w:rPr>
            </w:pPr>
            <w:r>
              <w:rPr>
                <w:sz w:val="20"/>
              </w:rPr>
              <w:t>CSN</w:t>
            </w:r>
          </w:p>
        </w:tc>
        <w:tc>
          <w:tcPr>
            <w:tcW w:w="1159" w:type="dxa"/>
            <w:tcBorders>
              <w:left w:val="nil"/>
              <w:right w:val="nil"/>
            </w:tcBorders>
          </w:tcPr>
          <w:p>
            <w:pPr>
              <w:pStyle w:val="TableParagraph"/>
              <w:spacing w:line="223" w:lineRule="exact"/>
              <w:ind w:left="161" w:right="100"/>
              <w:jc w:val="center"/>
              <w:rPr>
                <w:sz w:val="20"/>
              </w:rPr>
            </w:pPr>
            <w:r>
              <w:rPr>
                <w:sz w:val="20"/>
              </w:rPr>
              <w:t>28</w:t>
            </w:r>
          </w:p>
        </w:tc>
        <w:tc>
          <w:tcPr>
            <w:tcW w:w="1133" w:type="dxa"/>
            <w:tcBorders>
              <w:left w:val="nil"/>
              <w:right w:val="nil"/>
            </w:tcBorders>
          </w:tcPr>
          <w:p>
            <w:pPr>
              <w:pStyle w:val="TableParagraph"/>
              <w:spacing w:line="223" w:lineRule="exact"/>
              <w:ind w:left="307"/>
              <w:rPr>
                <w:sz w:val="20"/>
              </w:rPr>
            </w:pPr>
            <w:r>
              <w:rPr>
                <w:sz w:val="20"/>
              </w:rPr>
              <w:t>18.556</w:t>
            </w:r>
          </w:p>
        </w:tc>
        <w:tc>
          <w:tcPr>
            <w:tcW w:w="1998" w:type="dxa"/>
            <w:tcBorders>
              <w:left w:val="nil"/>
            </w:tcBorders>
          </w:tcPr>
          <w:p>
            <w:pPr>
              <w:pStyle w:val="TableParagraph"/>
              <w:spacing w:line="223" w:lineRule="exact"/>
              <w:ind w:left="84"/>
              <w:rPr>
                <w:sz w:val="20"/>
              </w:rPr>
            </w:pPr>
            <w:r>
              <w:rPr>
                <w:sz w:val="20"/>
              </w:rPr>
              <w:t>Etapa única</w:t>
            </w:r>
          </w:p>
        </w:tc>
      </w:tr>
      <w:tr>
        <w:trPr>
          <w:trHeight w:val="330" w:hRule="atLeast"/>
        </w:trPr>
        <w:tc>
          <w:tcPr>
            <w:tcW w:w="372" w:type="dxa"/>
            <w:tcBorders>
              <w:top w:val="nil"/>
              <w:bottom w:val="nil"/>
              <w:right w:val="single" w:sz="8" w:space="0" w:color="000000"/>
            </w:tcBorders>
            <w:shd w:val="clear" w:color="auto" w:fill="9CC2E4"/>
          </w:tcPr>
          <w:p>
            <w:pPr>
              <w:pStyle w:val="TableParagraph"/>
              <w:spacing w:line="223" w:lineRule="exact"/>
              <w:ind w:left="62" w:right="55"/>
              <w:jc w:val="center"/>
              <w:rPr>
                <w:sz w:val="20"/>
              </w:rPr>
            </w:pPr>
            <w:r>
              <w:rPr>
                <w:sz w:val="20"/>
              </w:rPr>
              <w:t>21</w:t>
            </w:r>
          </w:p>
        </w:tc>
        <w:tc>
          <w:tcPr>
            <w:tcW w:w="3023" w:type="dxa"/>
            <w:tcBorders>
              <w:left w:val="single" w:sz="8" w:space="0" w:color="000000"/>
              <w:right w:val="nil"/>
            </w:tcBorders>
            <w:shd w:val="clear" w:color="auto" w:fill="D9D9D9"/>
          </w:tcPr>
          <w:p>
            <w:pPr>
              <w:pStyle w:val="TableParagraph"/>
              <w:spacing w:line="223" w:lineRule="exact"/>
              <w:ind w:left="54"/>
              <w:rPr>
                <w:sz w:val="20"/>
              </w:rPr>
            </w:pPr>
            <w:r>
              <w:rPr>
                <w:sz w:val="20"/>
              </w:rPr>
              <w:t>DIQUE DO BICHENTO IIIA</w:t>
            </w:r>
          </w:p>
        </w:tc>
        <w:tc>
          <w:tcPr>
            <w:tcW w:w="1547" w:type="dxa"/>
            <w:tcBorders>
              <w:left w:val="nil"/>
              <w:right w:val="nil"/>
            </w:tcBorders>
            <w:shd w:val="clear" w:color="auto" w:fill="D9D9D9"/>
          </w:tcPr>
          <w:p>
            <w:pPr>
              <w:pStyle w:val="TableParagraph"/>
              <w:spacing w:line="223" w:lineRule="exact"/>
              <w:ind w:left="128"/>
              <w:rPr>
                <w:sz w:val="20"/>
              </w:rPr>
            </w:pPr>
            <w:r>
              <w:rPr>
                <w:sz w:val="20"/>
              </w:rPr>
              <w:t>CSN</w:t>
            </w:r>
          </w:p>
        </w:tc>
        <w:tc>
          <w:tcPr>
            <w:tcW w:w="1159" w:type="dxa"/>
            <w:tcBorders>
              <w:left w:val="nil"/>
              <w:right w:val="nil"/>
            </w:tcBorders>
            <w:shd w:val="clear" w:color="auto" w:fill="D9D9D9"/>
          </w:tcPr>
          <w:p>
            <w:pPr>
              <w:pStyle w:val="TableParagraph"/>
              <w:spacing w:line="223" w:lineRule="exact"/>
              <w:ind w:left="159" w:right="102"/>
              <w:jc w:val="center"/>
              <w:rPr>
                <w:sz w:val="20"/>
              </w:rPr>
            </w:pPr>
            <w:r>
              <w:rPr>
                <w:sz w:val="20"/>
              </w:rPr>
              <w:t>15,5</w:t>
            </w:r>
          </w:p>
        </w:tc>
        <w:tc>
          <w:tcPr>
            <w:tcW w:w="1133" w:type="dxa"/>
            <w:tcBorders>
              <w:left w:val="nil"/>
              <w:right w:val="nil"/>
            </w:tcBorders>
            <w:shd w:val="clear" w:color="auto" w:fill="D9D9D9"/>
          </w:tcPr>
          <w:p>
            <w:pPr>
              <w:pStyle w:val="TableParagraph"/>
              <w:spacing w:line="223" w:lineRule="exact"/>
              <w:ind w:left="257"/>
              <w:rPr>
                <w:sz w:val="20"/>
              </w:rPr>
            </w:pPr>
            <w:r>
              <w:rPr>
                <w:sz w:val="20"/>
              </w:rPr>
              <w:t>116.696</w:t>
            </w:r>
          </w:p>
        </w:tc>
        <w:tc>
          <w:tcPr>
            <w:tcW w:w="1998" w:type="dxa"/>
            <w:tcBorders>
              <w:left w:val="nil"/>
            </w:tcBorders>
            <w:shd w:val="clear" w:color="auto" w:fill="D9D9D9"/>
          </w:tcPr>
          <w:p>
            <w:pPr>
              <w:pStyle w:val="TableParagraph"/>
              <w:spacing w:line="223" w:lineRule="exact"/>
              <w:ind w:left="84"/>
              <w:rPr>
                <w:sz w:val="20"/>
              </w:rPr>
            </w:pPr>
            <w:r>
              <w:rPr>
                <w:sz w:val="20"/>
              </w:rPr>
              <w:t>Etapa única</w:t>
            </w:r>
          </w:p>
        </w:tc>
      </w:tr>
      <w:tr>
        <w:trPr>
          <w:trHeight w:val="329" w:hRule="atLeast"/>
        </w:trPr>
        <w:tc>
          <w:tcPr>
            <w:tcW w:w="372" w:type="dxa"/>
            <w:tcBorders>
              <w:top w:val="nil"/>
              <w:bottom w:val="nil"/>
              <w:right w:val="single" w:sz="8" w:space="0" w:color="000000"/>
            </w:tcBorders>
            <w:shd w:val="clear" w:color="auto" w:fill="9CC2E4"/>
          </w:tcPr>
          <w:p>
            <w:pPr>
              <w:pStyle w:val="TableParagraph"/>
              <w:spacing w:line="223" w:lineRule="exact"/>
              <w:ind w:left="62" w:right="55"/>
              <w:jc w:val="center"/>
              <w:rPr>
                <w:sz w:val="20"/>
              </w:rPr>
            </w:pPr>
            <w:r>
              <w:rPr>
                <w:sz w:val="20"/>
              </w:rPr>
              <w:t>22</w:t>
            </w:r>
          </w:p>
        </w:tc>
        <w:tc>
          <w:tcPr>
            <w:tcW w:w="3023" w:type="dxa"/>
            <w:tcBorders>
              <w:left w:val="single" w:sz="8" w:space="0" w:color="000000"/>
              <w:right w:val="nil"/>
            </w:tcBorders>
          </w:tcPr>
          <w:p>
            <w:pPr>
              <w:pStyle w:val="TableParagraph"/>
              <w:spacing w:line="223" w:lineRule="exact"/>
              <w:ind w:left="54"/>
              <w:rPr>
                <w:sz w:val="20"/>
              </w:rPr>
            </w:pPr>
            <w:r>
              <w:rPr>
                <w:sz w:val="20"/>
              </w:rPr>
              <w:t>DIQUE DO ENGENHO</w:t>
            </w:r>
          </w:p>
        </w:tc>
        <w:tc>
          <w:tcPr>
            <w:tcW w:w="1547" w:type="dxa"/>
            <w:tcBorders>
              <w:left w:val="nil"/>
              <w:right w:val="nil"/>
            </w:tcBorders>
          </w:tcPr>
          <w:p>
            <w:pPr>
              <w:pStyle w:val="TableParagraph"/>
              <w:spacing w:line="223" w:lineRule="exact"/>
              <w:ind w:left="128"/>
              <w:rPr>
                <w:sz w:val="20"/>
              </w:rPr>
            </w:pPr>
            <w:r>
              <w:rPr>
                <w:sz w:val="20"/>
              </w:rPr>
              <w:t>CSN/NAMISA</w:t>
            </w:r>
          </w:p>
        </w:tc>
        <w:tc>
          <w:tcPr>
            <w:tcW w:w="1159" w:type="dxa"/>
            <w:tcBorders>
              <w:left w:val="nil"/>
              <w:right w:val="nil"/>
            </w:tcBorders>
          </w:tcPr>
          <w:p>
            <w:pPr>
              <w:pStyle w:val="TableParagraph"/>
              <w:spacing w:line="223" w:lineRule="exact"/>
              <w:ind w:left="161" w:right="100"/>
              <w:jc w:val="center"/>
              <w:rPr>
                <w:sz w:val="20"/>
              </w:rPr>
            </w:pPr>
            <w:r>
              <w:rPr>
                <w:sz w:val="20"/>
              </w:rPr>
              <w:t>10</w:t>
            </w:r>
          </w:p>
        </w:tc>
        <w:tc>
          <w:tcPr>
            <w:tcW w:w="1133" w:type="dxa"/>
            <w:tcBorders>
              <w:left w:val="nil"/>
              <w:right w:val="nil"/>
            </w:tcBorders>
          </w:tcPr>
          <w:p>
            <w:pPr>
              <w:pStyle w:val="TableParagraph"/>
              <w:spacing w:line="223" w:lineRule="exact"/>
              <w:ind w:left="358"/>
              <w:rPr>
                <w:sz w:val="20"/>
              </w:rPr>
            </w:pPr>
            <w:r>
              <w:rPr>
                <w:sz w:val="20"/>
              </w:rPr>
              <w:t>8.821</w:t>
            </w:r>
          </w:p>
        </w:tc>
        <w:tc>
          <w:tcPr>
            <w:tcW w:w="1998" w:type="dxa"/>
            <w:tcBorders>
              <w:left w:val="nil"/>
            </w:tcBorders>
          </w:tcPr>
          <w:p>
            <w:pPr>
              <w:pStyle w:val="TableParagraph"/>
              <w:spacing w:line="223" w:lineRule="exact"/>
              <w:ind w:left="84"/>
              <w:rPr>
                <w:sz w:val="20"/>
              </w:rPr>
            </w:pPr>
            <w:r>
              <w:rPr>
                <w:sz w:val="20"/>
              </w:rPr>
              <w:t>Etapa única</w:t>
            </w:r>
          </w:p>
        </w:tc>
      </w:tr>
      <w:tr>
        <w:trPr>
          <w:trHeight w:val="330" w:hRule="atLeast"/>
        </w:trPr>
        <w:tc>
          <w:tcPr>
            <w:tcW w:w="372" w:type="dxa"/>
            <w:tcBorders>
              <w:top w:val="nil"/>
              <w:bottom w:val="nil"/>
              <w:right w:val="single" w:sz="8" w:space="0" w:color="000000"/>
            </w:tcBorders>
            <w:shd w:val="clear" w:color="auto" w:fill="9CC2E4"/>
          </w:tcPr>
          <w:p>
            <w:pPr>
              <w:pStyle w:val="TableParagraph"/>
              <w:spacing w:line="223" w:lineRule="exact"/>
              <w:ind w:left="62" w:right="55"/>
              <w:jc w:val="center"/>
              <w:rPr>
                <w:sz w:val="20"/>
              </w:rPr>
            </w:pPr>
            <w:r>
              <w:rPr>
                <w:sz w:val="20"/>
              </w:rPr>
              <w:t>23</w:t>
            </w:r>
          </w:p>
        </w:tc>
        <w:tc>
          <w:tcPr>
            <w:tcW w:w="3023" w:type="dxa"/>
            <w:tcBorders>
              <w:left w:val="single" w:sz="8" w:space="0" w:color="000000"/>
              <w:right w:val="nil"/>
            </w:tcBorders>
            <w:shd w:val="clear" w:color="auto" w:fill="D9D9D9"/>
          </w:tcPr>
          <w:p>
            <w:pPr>
              <w:pStyle w:val="TableParagraph"/>
              <w:spacing w:line="223" w:lineRule="exact"/>
              <w:ind w:left="54"/>
              <w:rPr>
                <w:sz w:val="20"/>
              </w:rPr>
            </w:pPr>
            <w:r>
              <w:rPr>
                <w:sz w:val="20"/>
              </w:rPr>
              <w:t>DIQUE DO ESMERIL IV</w:t>
            </w:r>
          </w:p>
        </w:tc>
        <w:tc>
          <w:tcPr>
            <w:tcW w:w="1547" w:type="dxa"/>
            <w:tcBorders>
              <w:left w:val="nil"/>
              <w:right w:val="nil"/>
            </w:tcBorders>
            <w:shd w:val="clear" w:color="auto" w:fill="D9D9D9"/>
          </w:tcPr>
          <w:p>
            <w:pPr>
              <w:pStyle w:val="TableParagraph"/>
              <w:spacing w:line="223" w:lineRule="exact"/>
              <w:ind w:left="128"/>
              <w:rPr>
                <w:sz w:val="20"/>
              </w:rPr>
            </w:pPr>
            <w:r>
              <w:rPr>
                <w:sz w:val="20"/>
              </w:rPr>
              <w:t>CSN</w:t>
            </w:r>
          </w:p>
        </w:tc>
        <w:tc>
          <w:tcPr>
            <w:tcW w:w="1159" w:type="dxa"/>
            <w:tcBorders>
              <w:left w:val="nil"/>
              <w:right w:val="nil"/>
            </w:tcBorders>
            <w:shd w:val="clear" w:color="auto" w:fill="D9D9D9"/>
          </w:tcPr>
          <w:p>
            <w:pPr>
              <w:pStyle w:val="TableParagraph"/>
              <w:spacing w:line="223" w:lineRule="exact"/>
              <w:ind w:left="161" w:right="100"/>
              <w:jc w:val="center"/>
              <w:rPr>
                <w:sz w:val="20"/>
              </w:rPr>
            </w:pPr>
            <w:r>
              <w:rPr>
                <w:sz w:val="20"/>
              </w:rPr>
              <w:t>38</w:t>
            </w:r>
          </w:p>
        </w:tc>
        <w:tc>
          <w:tcPr>
            <w:tcW w:w="1133" w:type="dxa"/>
            <w:tcBorders>
              <w:left w:val="nil"/>
              <w:right w:val="nil"/>
            </w:tcBorders>
            <w:shd w:val="clear" w:color="auto" w:fill="D9D9D9"/>
          </w:tcPr>
          <w:p>
            <w:pPr>
              <w:pStyle w:val="TableParagraph"/>
              <w:spacing w:line="223" w:lineRule="exact"/>
              <w:ind w:left="257"/>
              <w:rPr>
                <w:sz w:val="20"/>
              </w:rPr>
            </w:pPr>
            <w:r>
              <w:rPr>
                <w:sz w:val="20"/>
              </w:rPr>
              <w:t>282.079</w:t>
            </w:r>
          </w:p>
        </w:tc>
        <w:tc>
          <w:tcPr>
            <w:tcW w:w="1998" w:type="dxa"/>
            <w:tcBorders>
              <w:left w:val="nil"/>
            </w:tcBorders>
            <w:shd w:val="clear" w:color="auto" w:fill="D9D9D9"/>
          </w:tcPr>
          <w:p>
            <w:pPr>
              <w:pStyle w:val="TableParagraph"/>
              <w:spacing w:line="223" w:lineRule="exact"/>
              <w:ind w:left="84"/>
              <w:rPr>
                <w:sz w:val="20"/>
              </w:rPr>
            </w:pPr>
            <w:r>
              <w:rPr>
                <w:sz w:val="20"/>
              </w:rPr>
              <w:t>Etapa única</w:t>
            </w:r>
          </w:p>
        </w:tc>
      </w:tr>
      <w:tr>
        <w:trPr>
          <w:trHeight w:val="330" w:hRule="atLeast"/>
        </w:trPr>
        <w:tc>
          <w:tcPr>
            <w:tcW w:w="372" w:type="dxa"/>
            <w:tcBorders>
              <w:top w:val="nil"/>
              <w:right w:val="single" w:sz="8" w:space="0" w:color="000000"/>
            </w:tcBorders>
            <w:shd w:val="clear" w:color="auto" w:fill="9CC2E4"/>
          </w:tcPr>
          <w:p>
            <w:pPr>
              <w:pStyle w:val="TableParagraph"/>
              <w:spacing w:line="223" w:lineRule="exact"/>
              <w:ind w:left="62" w:right="55"/>
              <w:jc w:val="center"/>
              <w:rPr>
                <w:sz w:val="20"/>
              </w:rPr>
            </w:pPr>
            <w:r>
              <w:rPr>
                <w:sz w:val="20"/>
              </w:rPr>
              <w:t>24</w:t>
            </w:r>
          </w:p>
        </w:tc>
        <w:tc>
          <w:tcPr>
            <w:tcW w:w="3023" w:type="dxa"/>
            <w:tcBorders>
              <w:left w:val="single" w:sz="8" w:space="0" w:color="000000"/>
              <w:right w:val="nil"/>
            </w:tcBorders>
          </w:tcPr>
          <w:p>
            <w:pPr>
              <w:pStyle w:val="TableParagraph"/>
              <w:spacing w:line="223" w:lineRule="exact"/>
              <w:ind w:left="54"/>
              <w:rPr>
                <w:sz w:val="20"/>
              </w:rPr>
            </w:pPr>
            <w:r>
              <w:rPr>
                <w:sz w:val="20"/>
              </w:rPr>
              <w:t>GAMBÁ</w:t>
            </w:r>
          </w:p>
        </w:tc>
        <w:tc>
          <w:tcPr>
            <w:tcW w:w="1547" w:type="dxa"/>
            <w:tcBorders>
              <w:left w:val="nil"/>
              <w:right w:val="nil"/>
            </w:tcBorders>
          </w:tcPr>
          <w:p>
            <w:pPr>
              <w:pStyle w:val="TableParagraph"/>
              <w:spacing w:line="223" w:lineRule="exact"/>
              <w:ind w:left="128"/>
              <w:rPr>
                <w:sz w:val="20"/>
              </w:rPr>
            </w:pPr>
            <w:r>
              <w:rPr>
                <w:sz w:val="20"/>
              </w:rPr>
              <w:t>VALE S/A</w:t>
            </w:r>
          </w:p>
        </w:tc>
        <w:tc>
          <w:tcPr>
            <w:tcW w:w="1159" w:type="dxa"/>
            <w:tcBorders>
              <w:left w:val="nil"/>
              <w:right w:val="nil"/>
            </w:tcBorders>
          </w:tcPr>
          <w:p>
            <w:pPr>
              <w:pStyle w:val="TableParagraph"/>
              <w:spacing w:line="223" w:lineRule="exact"/>
              <w:ind w:left="158" w:right="102"/>
              <w:jc w:val="center"/>
              <w:rPr>
                <w:sz w:val="20"/>
              </w:rPr>
            </w:pPr>
            <w:r>
              <w:rPr>
                <w:sz w:val="20"/>
              </w:rPr>
              <w:t>12,64</w:t>
            </w:r>
          </w:p>
        </w:tc>
        <w:tc>
          <w:tcPr>
            <w:tcW w:w="1133" w:type="dxa"/>
            <w:tcBorders>
              <w:left w:val="nil"/>
              <w:right w:val="nil"/>
            </w:tcBorders>
          </w:tcPr>
          <w:p>
            <w:pPr>
              <w:pStyle w:val="TableParagraph"/>
              <w:spacing w:line="223" w:lineRule="exact"/>
              <w:ind w:left="358"/>
              <w:rPr>
                <w:sz w:val="20"/>
              </w:rPr>
            </w:pPr>
            <w:r>
              <w:rPr>
                <w:sz w:val="20"/>
              </w:rPr>
              <w:t>5.000</w:t>
            </w:r>
          </w:p>
        </w:tc>
        <w:tc>
          <w:tcPr>
            <w:tcW w:w="1998" w:type="dxa"/>
            <w:tcBorders>
              <w:left w:val="nil"/>
            </w:tcBorders>
          </w:tcPr>
          <w:p>
            <w:pPr>
              <w:pStyle w:val="TableParagraph"/>
              <w:spacing w:line="223" w:lineRule="exact"/>
              <w:ind w:left="84"/>
              <w:rPr>
                <w:sz w:val="20"/>
              </w:rPr>
            </w:pPr>
            <w:r>
              <w:rPr>
                <w:sz w:val="20"/>
              </w:rPr>
              <w:t>Etapa única</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11"/>
        </w:rPr>
      </w:pPr>
      <w:r>
        <w:rPr/>
        <w:pict>
          <v:shape style="position:absolute;margin-left:475.660004pt;margin-top:7.801859pt;width:40.450pt;height:55.95pt;mso-position-horizontal-relative:page;mso-position-vertical-relative:paragraph;z-index:848;mso-wrap-distance-left:0;mso-wrap-distance-right:0" type="#_x0000_t202" filled="true" fillcolor="#6fac46" stroked="false">
            <v:textbox inset="0,0,0,0">
              <w:txbxContent>
                <w:p>
                  <w:pPr>
                    <w:pStyle w:val="BodyText"/>
                    <w:spacing w:before="10"/>
                    <w:rPr>
                      <w:sz w:val="29"/>
                    </w:rPr>
                  </w:pPr>
                </w:p>
                <w:p>
                  <w:pPr>
                    <w:spacing w:before="0"/>
                    <w:ind w:left="220" w:right="0" w:firstLine="0"/>
                    <w:jc w:val="left"/>
                    <w:rPr>
                      <w:rFonts w:ascii="Arial"/>
                      <w:sz w:val="36"/>
                    </w:rPr>
                  </w:pPr>
                  <w:r>
                    <w:rPr>
                      <w:rFonts w:ascii="Arial"/>
                      <w:color w:val="FFFFFF"/>
                      <w:sz w:val="36"/>
                    </w:rPr>
                    <w:t>19</w:t>
                  </w:r>
                </w:p>
              </w:txbxContent>
            </v:textbox>
            <v:fill type="solid"/>
            <w10:wrap type="topAndBottom"/>
          </v:shape>
        </w:pict>
      </w:r>
    </w:p>
    <w:p>
      <w:pPr>
        <w:spacing w:after="0"/>
        <w:rPr>
          <w:sz w:val="11"/>
        </w:rPr>
        <w:sectPr>
          <w:type w:val="continuous"/>
          <w:pgSz w:w="11910" w:h="16840"/>
          <w:pgMar w:top="0" w:bottom="280" w:left="0" w:right="0"/>
        </w:sectPr>
      </w:pPr>
    </w:p>
    <w:p>
      <w:pPr>
        <w:pStyle w:val="BodyText"/>
        <w:rPr>
          <w:sz w:val="20"/>
        </w:rPr>
      </w:pPr>
    </w:p>
    <w:p>
      <w:pPr>
        <w:pStyle w:val="BodyText"/>
        <w:rPr>
          <w:sz w:val="20"/>
        </w:rPr>
      </w:pPr>
    </w:p>
    <w:p>
      <w:pPr>
        <w:pStyle w:val="BodyText"/>
        <w:spacing w:before="1"/>
        <w:rPr>
          <w:sz w:val="18"/>
        </w:rPr>
      </w:pPr>
    </w:p>
    <w:p>
      <w:pPr>
        <w:spacing w:after="0"/>
        <w:rPr>
          <w:sz w:val="18"/>
        </w:rPr>
        <w:sectPr>
          <w:pgSz w:w="11910" w:h="16840"/>
          <w:pgMar w:top="0" w:bottom="0" w:left="0" w:right="0"/>
        </w:sectPr>
      </w:pPr>
    </w:p>
    <w:p>
      <w:pPr>
        <w:pStyle w:val="Heading1"/>
        <w:spacing w:line="172" w:lineRule="auto"/>
      </w:pPr>
      <w:r>
        <w:rPr/>
        <w:drawing>
          <wp:anchor distT="0" distB="0" distL="0" distR="0" allowOverlap="1" layoutInCell="1" locked="0" behindDoc="0" simplePos="0" relativeHeight="2992">
            <wp:simplePos x="0" y="0"/>
            <wp:positionH relativeFrom="page">
              <wp:posOffset>979932</wp:posOffset>
            </wp:positionH>
            <wp:positionV relativeFrom="paragraph">
              <wp:posOffset>-9589</wp:posOffset>
            </wp:positionV>
            <wp:extent cx="1478280" cy="612648"/>
            <wp:effectExtent l="0" t="0" r="0" b="0"/>
            <wp:wrapNone/>
            <wp:docPr id="85" name="image8.png" descr=""/>
            <wp:cNvGraphicFramePr>
              <a:graphicFrameLocks noChangeAspect="1"/>
            </wp:cNvGraphicFramePr>
            <a:graphic>
              <a:graphicData uri="http://schemas.openxmlformats.org/drawingml/2006/picture">
                <pic:pic>
                  <pic:nvPicPr>
                    <pic:cNvPr id="86" name="image8.png"/>
                    <pic:cNvPicPr/>
                  </pic:nvPicPr>
                  <pic:blipFill>
                    <a:blip r:embed="rId12" cstate="print"/>
                    <a:stretch>
                      <a:fillRect/>
                    </a:stretch>
                  </pic:blipFill>
                  <pic:spPr>
                    <a:xfrm>
                      <a:off x="0" y="0"/>
                      <a:ext cx="1478280" cy="612648"/>
                    </a:xfrm>
                    <a:prstGeom prst="rect">
                      <a:avLst/>
                    </a:prstGeom>
                  </pic:spPr>
                </pic:pic>
              </a:graphicData>
            </a:graphic>
          </wp:anchor>
        </w:drawing>
      </w:r>
      <w:r>
        <w:rPr>
          <w:color w:val="385522"/>
        </w:rPr>
        <w:t>meio </w:t>
      </w:r>
      <w:r>
        <w:rPr>
          <w:color w:val="385522"/>
          <w:w w:val="95"/>
        </w:rPr>
        <w:t>ambiente</w:t>
      </w:r>
    </w:p>
    <w:p>
      <w:pPr>
        <w:spacing w:before="60"/>
        <w:ind w:left="455" w:right="0" w:firstLine="0"/>
        <w:jc w:val="left"/>
        <w:rPr>
          <w:rFonts w:ascii="Arial" w:hAnsi="Arial"/>
          <w:sz w:val="22"/>
        </w:rPr>
      </w:pPr>
      <w:r>
        <w:rPr/>
        <w:br w:type="column"/>
      </w:r>
      <w:r>
        <w:rPr>
          <w:rFonts w:ascii="Arial" w:hAnsi="Arial"/>
          <w:color w:val="385522"/>
          <w:sz w:val="22"/>
        </w:rPr>
        <w:t>Plano Municipal de Segurança de Barragens-PMSB</w:t>
      </w:r>
    </w:p>
    <w:p>
      <w:pPr>
        <w:spacing w:after="0"/>
        <w:jc w:val="left"/>
        <w:rPr>
          <w:rFonts w:ascii="Arial" w:hAnsi="Arial"/>
          <w:sz w:val="22"/>
        </w:rPr>
        <w:sectPr>
          <w:type w:val="continuous"/>
          <w:pgSz w:w="11910" w:h="16840"/>
          <w:pgMar w:top="0" w:bottom="280" w:left="0" w:right="0"/>
          <w:cols w:num="2" w:equalWidth="0">
            <w:col w:w="5155" w:space="77"/>
            <w:col w:w="6678"/>
          </w:cols>
        </w:sectPr>
      </w:pPr>
    </w:p>
    <w:p>
      <w:pPr>
        <w:pStyle w:val="BodyText"/>
        <w:rPr>
          <w:rFonts w:ascii="Arial"/>
          <w:sz w:val="20"/>
        </w:rPr>
      </w:pPr>
      <w:r>
        <w:rPr/>
        <w:drawing>
          <wp:anchor distT="0" distB="0" distL="0" distR="0" allowOverlap="1" layoutInCell="1" locked="0" behindDoc="0" simplePos="0" relativeHeight="3016">
            <wp:simplePos x="0" y="0"/>
            <wp:positionH relativeFrom="page">
              <wp:posOffset>288925</wp:posOffset>
            </wp:positionH>
            <wp:positionV relativeFrom="page">
              <wp:posOffset>634</wp:posOffset>
            </wp:positionV>
            <wp:extent cx="474344" cy="10691748"/>
            <wp:effectExtent l="0" t="0" r="0" b="0"/>
            <wp:wrapNone/>
            <wp:docPr id="87" name="image9.png" descr=""/>
            <wp:cNvGraphicFramePr>
              <a:graphicFrameLocks noChangeAspect="1"/>
            </wp:cNvGraphicFramePr>
            <a:graphic>
              <a:graphicData uri="http://schemas.openxmlformats.org/drawingml/2006/picture">
                <pic:pic>
                  <pic:nvPicPr>
                    <pic:cNvPr id="88" name="image9.png"/>
                    <pic:cNvPicPr/>
                  </pic:nvPicPr>
                  <pic:blipFill>
                    <a:blip r:embed="rId13" cstate="print"/>
                    <a:stretch>
                      <a:fillRect/>
                    </a:stretch>
                  </pic:blipFill>
                  <pic:spPr>
                    <a:xfrm>
                      <a:off x="0" y="0"/>
                      <a:ext cx="474344" cy="10691748"/>
                    </a:xfrm>
                    <a:prstGeom prst="rect">
                      <a:avLst/>
                    </a:prstGeom>
                  </pic:spPr>
                </pic:pic>
              </a:graphicData>
            </a:graphic>
          </wp:anchor>
        </w:drawing>
      </w:r>
    </w:p>
    <w:p>
      <w:pPr>
        <w:pStyle w:val="BodyText"/>
        <w:rPr>
          <w:rFonts w:ascii="Arial"/>
          <w:sz w:val="20"/>
        </w:rPr>
      </w:pPr>
    </w:p>
    <w:p>
      <w:pPr>
        <w:pStyle w:val="BodyText"/>
        <w:spacing w:before="11"/>
        <w:rPr>
          <w:rFonts w:ascii="Arial"/>
          <w:sz w:val="22"/>
        </w:rPr>
      </w:pPr>
    </w:p>
    <w:p>
      <w:pPr>
        <w:pStyle w:val="Heading3"/>
        <w:numPr>
          <w:ilvl w:val="0"/>
          <w:numId w:val="2"/>
        </w:numPr>
        <w:tabs>
          <w:tab w:pos="2346" w:val="left" w:leader="none"/>
        </w:tabs>
        <w:spacing w:line="240" w:lineRule="auto" w:before="0" w:after="0"/>
        <w:ind w:left="2345" w:right="0" w:hanging="360"/>
        <w:jc w:val="left"/>
      </w:pPr>
      <w:bookmarkStart w:name="_bookmark6" w:id="13"/>
      <w:bookmarkEnd w:id="13"/>
      <w:r>
        <w:rPr>
          <w:b w:val="0"/>
        </w:rPr>
      </w:r>
      <w:bookmarkStart w:name="_bookmark6" w:id="14"/>
      <w:bookmarkEnd w:id="14"/>
      <w:r>
        <w:rPr/>
        <w:t>IN</w:t>
      </w:r>
      <w:r>
        <w:rPr/>
        <w:t>VENTÁRIO DE</w:t>
      </w:r>
      <w:r>
        <w:rPr>
          <w:spacing w:val="-1"/>
        </w:rPr>
        <w:t> </w:t>
      </w:r>
      <w:r>
        <w:rPr/>
        <w:t>ACUMULAÇÃO.</w:t>
      </w:r>
    </w:p>
    <w:p>
      <w:pPr>
        <w:pStyle w:val="BodyText"/>
        <w:rPr>
          <w:b/>
          <w:sz w:val="26"/>
        </w:rPr>
      </w:pPr>
    </w:p>
    <w:p>
      <w:pPr>
        <w:pStyle w:val="BodyText"/>
        <w:spacing w:line="360" w:lineRule="auto" w:before="195" w:after="6"/>
        <w:ind w:left="2062" w:right="1877"/>
      </w:pPr>
      <w:r>
        <w:rPr/>
        <w:t>Dentre diversos dados que analisamos, daremos destaque ao inventário de material acumulado conforme se segue:</w:t>
      </w:r>
    </w:p>
    <w:tbl>
      <w:tblPr>
        <w:tblW w:w="0" w:type="auto"/>
        <w:jc w:val="left"/>
        <w:tblInd w:w="16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141"/>
        <w:gridCol w:w="3829"/>
        <w:gridCol w:w="1844"/>
        <w:gridCol w:w="1558"/>
      </w:tblGrid>
      <w:tr>
        <w:trPr>
          <w:trHeight w:val="505" w:hRule="atLeast"/>
        </w:trPr>
        <w:tc>
          <w:tcPr>
            <w:tcW w:w="9372" w:type="dxa"/>
            <w:gridSpan w:val="4"/>
            <w:tcBorders>
              <w:bottom w:val="single" w:sz="4" w:space="0" w:color="000000"/>
            </w:tcBorders>
            <w:shd w:val="clear" w:color="auto" w:fill="C4D69B"/>
          </w:tcPr>
          <w:p>
            <w:pPr>
              <w:pStyle w:val="TableParagraph"/>
              <w:spacing w:before="88"/>
              <w:ind w:left="942"/>
              <w:rPr>
                <w:b/>
                <w:sz w:val="28"/>
              </w:rPr>
            </w:pPr>
            <w:r>
              <w:rPr>
                <w:b/>
                <w:color w:val="16365C"/>
                <w:sz w:val="28"/>
              </w:rPr>
              <w:t>CAPACIDADE DOS RESERVATÓRIOS DAS BARRAGENS</w:t>
            </w:r>
          </w:p>
        </w:tc>
      </w:tr>
      <w:tr>
        <w:trPr>
          <w:trHeight w:val="313" w:hRule="atLeast"/>
        </w:trPr>
        <w:tc>
          <w:tcPr>
            <w:tcW w:w="2141" w:type="dxa"/>
            <w:vMerge w:val="restart"/>
            <w:tcBorders>
              <w:top w:val="single" w:sz="4" w:space="0" w:color="000000"/>
              <w:left w:val="single" w:sz="4" w:space="0" w:color="000000"/>
              <w:bottom w:val="single" w:sz="4" w:space="0" w:color="000000"/>
            </w:tcBorders>
            <w:shd w:val="clear" w:color="auto" w:fill="BEBEBE"/>
          </w:tcPr>
          <w:p>
            <w:pPr>
              <w:pStyle w:val="TableParagraph"/>
              <w:spacing w:before="195"/>
              <w:ind w:left="486"/>
              <w:rPr>
                <w:b/>
                <w:sz w:val="24"/>
              </w:rPr>
            </w:pPr>
            <w:r>
              <w:rPr>
                <w:b/>
                <w:sz w:val="24"/>
              </w:rPr>
              <w:t>EMPRESA</w:t>
            </w:r>
          </w:p>
        </w:tc>
        <w:tc>
          <w:tcPr>
            <w:tcW w:w="3829" w:type="dxa"/>
            <w:vMerge w:val="restart"/>
            <w:tcBorders>
              <w:top w:val="single" w:sz="4" w:space="0" w:color="000000"/>
              <w:bottom w:val="single" w:sz="4" w:space="0" w:color="000000"/>
            </w:tcBorders>
            <w:shd w:val="clear" w:color="auto" w:fill="BEBEBE"/>
          </w:tcPr>
          <w:p>
            <w:pPr>
              <w:pStyle w:val="TableParagraph"/>
              <w:spacing w:before="195"/>
              <w:ind w:left="220"/>
              <w:rPr>
                <w:b/>
                <w:sz w:val="24"/>
              </w:rPr>
            </w:pPr>
            <w:r>
              <w:rPr>
                <w:b/>
                <w:sz w:val="24"/>
              </w:rPr>
              <w:t>DENOMINAÇÃO BARRAGEM</w:t>
            </w:r>
          </w:p>
        </w:tc>
        <w:tc>
          <w:tcPr>
            <w:tcW w:w="3402" w:type="dxa"/>
            <w:gridSpan w:val="2"/>
            <w:tcBorders>
              <w:top w:val="single" w:sz="4" w:space="0" w:color="000000"/>
              <w:right w:val="single" w:sz="4" w:space="0" w:color="000000"/>
            </w:tcBorders>
            <w:shd w:val="clear" w:color="auto" w:fill="BEBEBE"/>
          </w:tcPr>
          <w:p>
            <w:pPr>
              <w:pStyle w:val="TableParagraph"/>
              <w:spacing w:before="15"/>
              <w:ind w:left="1137" w:right="1129"/>
              <w:jc w:val="center"/>
              <w:rPr>
                <w:b/>
                <w:sz w:val="24"/>
              </w:rPr>
            </w:pPr>
            <w:r>
              <w:rPr>
                <w:b/>
                <w:sz w:val="24"/>
              </w:rPr>
              <w:t>VOLUME</w:t>
            </w:r>
          </w:p>
        </w:tc>
      </w:tr>
      <w:tr>
        <w:trPr>
          <w:trHeight w:val="342" w:hRule="atLeast"/>
        </w:trPr>
        <w:tc>
          <w:tcPr>
            <w:tcW w:w="2141" w:type="dxa"/>
            <w:vMerge/>
            <w:tcBorders>
              <w:top w:val="nil"/>
              <w:left w:val="single" w:sz="4" w:space="0" w:color="000000"/>
              <w:bottom w:val="single" w:sz="4" w:space="0" w:color="000000"/>
            </w:tcBorders>
            <w:shd w:val="clear" w:color="auto" w:fill="BEBEBE"/>
          </w:tcPr>
          <w:p>
            <w:pPr>
              <w:rPr>
                <w:sz w:val="2"/>
                <w:szCs w:val="2"/>
              </w:rPr>
            </w:pPr>
          </w:p>
        </w:tc>
        <w:tc>
          <w:tcPr>
            <w:tcW w:w="3829" w:type="dxa"/>
            <w:vMerge/>
            <w:tcBorders>
              <w:top w:val="nil"/>
              <w:bottom w:val="single" w:sz="4" w:space="0" w:color="000000"/>
            </w:tcBorders>
            <w:shd w:val="clear" w:color="auto" w:fill="BEBEBE"/>
          </w:tcPr>
          <w:p>
            <w:pPr>
              <w:rPr>
                <w:sz w:val="2"/>
                <w:szCs w:val="2"/>
              </w:rPr>
            </w:pPr>
          </w:p>
        </w:tc>
        <w:tc>
          <w:tcPr>
            <w:tcW w:w="1844" w:type="dxa"/>
            <w:tcBorders>
              <w:bottom w:val="single" w:sz="4" w:space="0" w:color="000000"/>
            </w:tcBorders>
            <w:shd w:val="clear" w:color="auto" w:fill="BEBEBE"/>
          </w:tcPr>
          <w:p>
            <w:pPr>
              <w:pStyle w:val="TableParagraph"/>
              <w:spacing w:before="30"/>
              <w:ind w:left="232" w:right="219"/>
              <w:jc w:val="center"/>
              <w:rPr>
                <w:b/>
                <w:sz w:val="24"/>
              </w:rPr>
            </w:pPr>
            <w:r>
              <w:rPr>
                <w:b/>
                <w:sz w:val="24"/>
              </w:rPr>
              <w:t>ATUAL (m³)</w:t>
            </w:r>
          </w:p>
        </w:tc>
        <w:tc>
          <w:tcPr>
            <w:tcW w:w="1558" w:type="dxa"/>
            <w:tcBorders>
              <w:bottom w:val="single" w:sz="4" w:space="0" w:color="000000"/>
              <w:right w:val="single" w:sz="4" w:space="0" w:color="000000"/>
            </w:tcBorders>
            <w:shd w:val="clear" w:color="auto" w:fill="BEBEBE"/>
          </w:tcPr>
          <w:p>
            <w:pPr>
              <w:pStyle w:val="TableParagraph"/>
              <w:spacing w:before="30"/>
              <w:ind w:left="136" w:right="128"/>
              <w:jc w:val="center"/>
              <w:rPr>
                <w:b/>
                <w:sz w:val="24"/>
              </w:rPr>
            </w:pPr>
            <w:r>
              <w:rPr>
                <w:b/>
                <w:sz w:val="24"/>
              </w:rPr>
              <w:t>FINAL (m³)</w:t>
            </w:r>
          </w:p>
        </w:tc>
      </w:tr>
      <w:tr>
        <w:trPr>
          <w:trHeight w:val="313" w:hRule="atLeast"/>
        </w:trPr>
        <w:tc>
          <w:tcPr>
            <w:tcW w:w="2141" w:type="dxa"/>
            <w:vMerge w:val="restart"/>
            <w:tcBorders>
              <w:top w:val="single" w:sz="4" w:space="0" w:color="000000"/>
            </w:tcBorders>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line="252" w:lineRule="exact" w:before="150"/>
              <w:ind w:left="98" w:right="81"/>
              <w:jc w:val="center"/>
              <w:rPr>
                <w:b/>
                <w:sz w:val="22"/>
              </w:rPr>
            </w:pPr>
            <w:r>
              <w:rPr>
                <w:b/>
                <w:sz w:val="22"/>
              </w:rPr>
              <w:t>CSN MINERAÇÃO</w:t>
            </w:r>
          </w:p>
          <w:p>
            <w:pPr>
              <w:pStyle w:val="TableParagraph"/>
              <w:spacing w:line="252" w:lineRule="exact"/>
              <w:ind w:left="98" w:right="79"/>
              <w:jc w:val="center"/>
              <w:rPr>
                <w:b/>
                <w:sz w:val="22"/>
              </w:rPr>
            </w:pPr>
            <w:r>
              <w:rPr>
                <w:b/>
                <w:sz w:val="22"/>
              </w:rPr>
              <w:t>(13 estruturas)</w:t>
            </w:r>
          </w:p>
        </w:tc>
        <w:tc>
          <w:tcPr>
            <w:tcW w:w="3829" w:type="dxa"/>
            <w:tcBorders>
              <w:top w:val="single" w:sz="4" w:space="0" w:color="000000"/>
            </w:tcBorders>
          </w:tcPr>
          <w:p>
            <w:pPr>
              <w:pStyle w:val="TableParagraph"/>
              <w:spacing w:before="11"/>
              <w:ind w:left="516" w:right="503"/>
              <w:jc w:val="center"/>
              <w:rPr>
                <w:sz w:val="24"/>
              </w:rPr>
            </w:pPr>
            <w:r>
              <w:rPr>
                <w:sz w:val="24"/>
              </w:rPr>
              <w:t>Dique do Esmeril IV</w:t>
            </w:r>
          </w:p>
        </w:tc>
        <w:tc>
          <w:tcPr>
            <w:tcW w:w="1844" w:type="dxa"/>
            <w:tcBorders>
              <w:top w:val="single" w:sz="4" w:space="0" w:color="000000"/>
            </w:tcBorders>
          </w:tcPr>
          <w:p>
            <w:pPr>
              <w:pStyle w:val="TableParagraph"/>
              <w:spacing w:before="11"/>
              <w:ind w:left="232" w:right="217"/>
              <w:jc w:val="center"/>
              <w:rPr>
                <w:sz w:val="24"/>
              </w:rPr>
            </w:pPr>
            <w:r>
              <w:rPr>
                <w:sz w:val="24"/>
              </w:rPr>
              <w:t>282.079</w:t>
            </w:r>
          </w:p>
        </w:tc>
        <w:tc>
          <w:tcPr>
            <w:tcW w:w="1558" w:type="dxa"/>
            <w:tcBorders>
              <w:top w:val="single" w:sz="4" w:space="0" w:color="000000"/>
            </w:tcBorders>
          </w:tcPr>
          <w:p>
            <w:pPr>
              <w:pStyle w:val="TableParagraph"/>
              <w:spacing w:before="11"/>
              <w:ind w:left="156" w:right="139"/>
              <w:jc w:val="center"/>
              <w:rPr>
                <w:sz w:val="24"/>
              </w:rPr>
            </w:pPr>
            <w:r>
              <w:rPr>
                <w:sz w:val="24"/>
              </w:rPr>
              <w:t>282.079</w:t>
            </w:r>
          </w:p>
        </w:tc>
      </w:tr>
      <w:tr>
        <w:trPr>
          <w:trHeight w:val="316" w:hRule="atLeast"/>
        </w:trPr>
        <w:tc>
          <w:tcPr>
            <w:tcW w:w="2141" w:type="dxa"/>
            <w:vMerge/>
            <w:tcBorders>
              <w:top w:val="nil"/>
            </w:tcBorders>
          </w:tcPr>
          <w:p>
            <w:pPr>
              <w:rPr>
                <w:sz w:val="2"/>
                <w:szCs w:val="2"/>
              </w:rPr>
            </w:pPr>
          </w:p>
        </w:tc>
        <w:tc>
          <w:tcPr>
            <w:tcW w:w="3829" w:type="dxa"/>
          </w:tcPr>
          <w:p>
            <w:pPr>
              <w:pStyle w:val="TableParagraph"/>
              <w:spacing w:before="13"/>
              <w:ind w:left="516" w:right="503"/>
              <w:jc w:val="center"/>
              <w:rPr>
                <w:sz w:val="24"/>
              </w:rPr>
            </w:pPr>
            <w:r>
              <w:rPr>
                <w:sz w:val="24"/>
              </w:rPr>
              <w:t>Dique do Engenho</w:t>
            </w:r>
          </w:p>
        </w:tc>
        <w:tc>
          <w:tcPr>
            <w:tcW w:w="1844" w:type="dxa"/>
          </w:tcPr>
          <w:p>
            <w:pPr>
              <w:pStyle w:val="TableParagraph"/>
              <w:spacing w:before="13"/>
              <w:ind w:left="232" w:right="217"/>
              <w:jc w:val="center"/>
              <w:rPr>
                <w:sz w:val="24"/>
              </w:rPr>
            </w:pPr>
            <w:r>
              <w:rPr>
                <w:sz w:val="24"/>
              </w:rPr>
              <w:t>8.821</w:t>
            </w:r>
          </w:p>
        </w:tc>
        <w:tc>
          <w:tcPr>
            <w:tcW w:w="1558" w:type="dxa"/>
          </w:tcPr>
          <w:p>
            <w:pPr>
              <w:pStyle w:val="TableParagraph"/>
              <w:spacing w:before="13"/>
              <w:ind w:left="156" w:right="139"/>
              <w:jc w:val="center"/>
              <w:rPr>
                <w:sz w:val="24"/>
              </w:rPr>
            </w:pPr>
            <w:r>
              <w:rPr>
                <w:sz w:val="24"/>
              </w:rPr>
              <w:t>8.821</w:t>
            </w:r>
          </w:p>
        </w:tc>
      </w:tr>
      <w:tr>
        <w:trPr>
          <w:trHeight w:val="316" w:hRule="atLeast"/>
        </w:trPr>
        <w:tc>
          <w:tcPr>
            <w:tcW w:w="2141" w:type="dxa"/>
            <w:vMerge/>
            <w:tcBorders>
              <w:top w:val="nil"/>
            </w:tcBorders>
          </w:tcPr>
          <w:p>
            <w:pPr>
              <w:rPr>
                <w:sz w:val="2"/>
                <w:szCs w:val="2"/>
              </w:rPr>
            </w:pPr>
          </w:p>
        </w:tc>
        <w:tc>
          <w:tcPr>
            <w:tcW w:w="3829" w:type="dxa"/>
          </w:tcPr>
          <w:p>
            <w:pPr>
              <w:pStyle w:val="TableParagraph"/>
              <w:spacing w:before="11"/>
              <w:ind w:left="512" w:right="503"/>
              <w:jc w:val="center"/>
              <w:rPr>
                <w:sz w:val="24"/>
              </w:rPr>
            </w:pPr>
            <w:r>
              <w:rPr>
                <w:sz w:val="24"/>
              </w:rPr>
              <w:t>Dique do Bichento IIIA</w:t>
            </w:r>
          </w:p>
        </w:tc>
        <w:tc>
          <w:tcPr>
            <w:tcW w:w="1844" w:type="dxa"/>
          </w:tcPr>
          <w:p>
            <w:pPr>
              <w:pStyle w:val="TableParagraph"/>
              <w:spacing w:before="11"/>
              <w:ind w:left="232" w:right="217"/>
              <w:jc w:val="center"/>
              <w:rPr>
                <w:sz w:val="24"/>
              </w:rPr>
            </w:pPr>
            <w:r>
              <w:rPr>
                <w:sz w:val="24"/>
              </w:rPr>
              <w:t>116.696</w:t>
            </w:r>
          </w:p>
        </w:tc>
        <w:tc>
          <w:tcPr>
            <w:tcW w:w="1558" w:type="dxa"/>
          </w:tcPr>
          <w:p>
            <w:pPr>
              <w:pStyle w:val="TableParagraph"/>
              <w:spacing w:before="11"/>
              <w:ind w:left="156" w:right="139"/>
              <w:jc w:val="center"/>
              <w:rPr>
                <w:sz w:val="24"/>
              </w:rPr>
            </w:pPr>
            <w:r>
              <w:rPr>
                <w:sz w:val="24"/>
              </w:rPr>
              <w:t>116.696</w:t>
            </w:r>
          </w:p>
        </w:tc>
      </w:tr>
      <w:tr>
        <w:trPr>
          <w:trHeight w:val="313" w:hRule="atLeast"/>
        </w:trPr>
        <w:tc>
          <w:tcPr>
            <w:tcW w:w="2141" w:type="dxa"/>
            <w:vMerge/>
            <w:tcBorders>
              <w:top w:val="nil"/>
            </w:tcBorders>
          </w:tcPr>
          <w:p>
            <w:pPr>
              <w:rPr>
                <w:sz w:val="2"/>
                <w:szCs w:val="2"/>
              </w:rPr>
            </w:pPr>
          </w:p>
        </w:tc>
        <w:tc>
          <w:tcPr>
            <w:tcW w:w="3829" w:type="dxa"/>
          </w:tcPr>
          <w:p>
            <w:pPr>
              <w:pStyle w:val="TableParagraph"/>
              <w:spacing w:before="10"/>
              <w:ind w:left="520" w:right="503"/>
              <w:jc w:val="center"/>
              <w:rPr>
                <w:sz w:val="24"/>
              </w:rPr>
            </w:pPr>
            <w:r>
              <w:rPr>
                <w:sz w:val="24"/>
              </w:rPr>
              <w:t>Dique do Batateiro de Baixo</w:t>
            </w:r>
          </w:p>
        </w:tc>
        <w:tc>
          <w:tcPr>
            <w:tcW w:w="1844" w:type="dxa"/>
          </w:tcPr>
          <w:p>
            <w:pPr>
              <w:pStyle w:val="TableParagraph"/>
              <w:spacing w:before="10"/>
              <w:ind w:left="232" w:right="217"/>
              <w:jc w:val="center"/>
              <w:rPr>
                <w:sz w:val="24"/>
              </w:rPr>
            </w:pPr>
            <w:r>
              <w:rPr>
                <w:sz w:val="24"/>
              </w:rPr>
              <w:t>18.300</w:t>
            </w:r>
          </w:p>
        </w:tc>
        <w:tc>
          <w:tcPr>
            <w:tcW w:w="1558" w:type="dxa"/>
          </w:tcPr>
          <w:p>
            <w:pPr>
              <w:pStyle w:val="TableParagraph"/>
              <w:spacing w:before="10"/>
              <w:ind w:left="156" w:right="139"/>
              <w:jc w:val="center"/>
              <w:rPr>
                <w:sz w:val="24"/>
              </w:rPr>
            </w:pPr>
            <w:r>
              <w:rPr>
                <w:sz w:val="24"/>
              </w:rPr>
              <w:t>18.300</w:t>
            </w:r>
          </w:p>
        </w:tc>
      </w:tr>
      <w:tr>
        <w:trPr>
          <w:trHeight w:val="316" w:hRule="atLeast"/>
        </w:trPr>
        <w:tc>
          <w:tcPr>
            <w:tcW w:w="2141" w:type="dxa"/>
            <w:vMerge/>
            <w:tcBorders>
              <w:top w:val="nil"/>
            </w:tcBorders>
          </w:tcPr>
          <w:p>
            <w:pPr>
              <w:rPr>
                <w:sz w:val="2"/>
                <w:szCs w:val="2"/>
              </w:rPr>
            </w:pPr>
          </w:p>
        </w:tc>
        <w:tc>
          <w:tcPr>
            <w:tcW w:w="3829" w:type="dxa"/>
          </w:tcPr>
          <w:p>
            <w:pPr>
              <w:pStyle w:val="TableParagraph"/>
              <w:spacing w:before="13"/>
              <w:ind w:left="519" w:right="503"/>
              <w:jc w:val="center"/>
              <w:rPr>
                <w:sz w:val="24"/>
              </w:rPr>
            </w:pPr>
            <w:r>
              <w:rPr>
                <w:sz w:val="24"/>
              </w:rPr>
              <w:t>Dique da Pilha do Vila II</w:t>
            </w:r>
          </w:p>
        </w:tc>
        <w:tc>
          <w:tcPr>
            <w:tcW w:w="1844" w:type="dxa"/>
          </w:tcPr>
          <w:p>
            <w:pPr>
              <w:pStyle w:val="TableParagraph"/>
              <w:spacing w:before="13"/>
              <w:ind w:left="232" w:right="217"/>
              <w:jc w:val="center"/>
              <w:rPr>
                <w:sz w:val="24"/>
              </w:rPr>
            </w:pPr>
            <w:r>
              <w:rPr>
                <w:sz w:val="24"/>
              </w:rPr>
              <w:t>18.556</w:t>
            </w:r>
          </w:p>
        </w:tc>
        <w:tc>
          <w:tcPr>
            <w:tcW w:w="1558" w:type="dxa"/>
          </w:tcPr>
          <w:p>
            <w:pPr>
              <w:pStyle w:val="TableParagraph"/>
              <w:spacing w:before="13"/>
              <w:ind w:left="156" w:right="139"/>
              <w:jc w:val="center"/>
              <w:rPr>
                <w:sz w:val="24"/>
              </w:rPr>
            </w:pPr>
            <w:r>
              <w:rPr>
                <w:sz w:val="24"/>
              </w:rPr>
              <w:t>18.556</w:t>
            </w:r>
          </w:p>
        </w:tc>
      </w:tr>
      <w:tr>
        <w:trPr>
          <w:trHeight w:val="313" w:hRule="atLeast"/>
        </w:trPr>
        <w:tc>
          <w:tcPr>
            <w:tcW w:w="2141" w:type="dxa"/>
            <w:vMerge/>
            <w:tcBorders>
              <w:top w:val="nil"/>
            </w:tcBorders>
          </w:tcPr>
          <w:p>
            <w:pPr>
              <w:rPr>
                <w:sz w:val="2"/>
                <w:szCs w:val="2"/>
              </w:rPr>
            </w:pPr>
          </w:p>
        </w:tc>
        <w:tc>
          <w:tcPr>
            <w:tcW w:w="3829" w:type="dxa"/>
          </w:tcPr>
          <w:p>
            <w:pPr>
              <w:pStyle w:val="TableParagraph"/>
              <w:spacing w:before="10"/>
              <w:ind w:left="518" w:right="503"/>
              <w:jc w:val="center"/>
              <w:rPr>
                <w:sz w:val="24"/>
              </w:rPr>
            </w:pPr>
            <w:r>
              <w:rPr>
                <w:sz w:val="24"/>
              </w:rPr>
              <w:t>Dique 11 - Dique do Sirênio</w:t>
            </w:r>
          </w:p>
        </w:tc>
        <w:tc>
          <w:tcPr>
            <w:tcW w:w="1844" w:type="dxa"/>
          </w:tcPr>
          <w:p>
            <w:pPr>
              <w:pStyle w:val="TableParagraph"/>
              <w:spacing w:before="10"/>
              <w:ind w:left="232" w:right="215"/>
              <w:jc w:val="center"/>
              <w:rPr>
                <w:sz w:val="24"/>
              </w:rPr>
            </w:pPr>
            <w:r>
              <w:rPr>
                <w:sz w:val="24"/>
              </w:rPr>
              <w:t>600</w:t>
            </w:r>
          </w:p>
        </w:tc>
        <w:tc>
          <w:tcPr>
            <w:tcW w:w="1558" w:type="dxa"/>
          </w:tcPr>
          <w:p>
            <w:pPr>
              <w:pStyle w:val="TableParagraph"/>
              <w:spacing w:before="10"/>
              <w:ind w:left="156" w:right="141"/>
              <w:jc w:val="center"/>
              <w:rPr>
                <w:sz w:val="24"/>
              </w:rPr>
            </w:pPr>
            <w:r>
              <w:rPr>
                <w:sz w:val="24"/>
              </w:rPr>
              <w:t>600</w:t>
            </w:r>
          </w:p>
        </w:tc>
      </w:tr>
      <w:tr>
        <w:trPr>
          <w:trHeight w:val="316" w:hRule="atLeast"/>
        </w:trPr>
        <w:tc>
          <w:tcPr>
            <w:tcW w:w="2141" w:type="dxa"/>
            <w:vMerge/>
            <w:tcBorders>
              <w:top w:val="nil"/>
            </w:tcBorders>
          </w:tcPr>
          <w:p>
            <w:pPr>
              <w:rPr>
                <w:sz w:val="2"/>
                <w:szCs w:val="2"/>
              </w:rPr>
            </w:pPr>
          </w:p>
        </w:tc>
        <w:tc>
          <w:tcPr>
            <w:tcW w:w="3829" w:type="dxa"/>
          </w:tcPr>
          <w:p>
            <w:pPr>
              <w:pStyle w:val="TableParagraph"/>
              <w:spacing w:before="13"/>
              <w:ind w:left="516" w:right="503"/>
              <w:jc w:val="center"/>
              <w:rPr>
                <w:sz w:val="24"/>
              </w:rPr>
            </w:pPr>
            <w:r>
              <w:rPr>
                <w:sz w:val="24"/>
              </w:rPr>
              <w:t>Barragem do Vigia</w:t>
            </w:r>
          </w:p>
        </w:tc>
        <w:tc>
          <w:tcPr>
            <w:tcW w:w="1844" w:type="dxa"/>
          </w:tcPr>
          <w:p>
            <w:pPr>
              <w:pStyle w:val="TableParagraph"/>
              <w:spacing w:before="13"/>
              <w:ind w:left="232" w:right="217"/>
              <w:jc w:val="center"/>
              <w:rPr>
                <w:sz w:val="24"/>
              </w:rPr>
            </w:pPr>
            <w:r>
              <w:rPr>
                <w:sz w:val="24"/>
              </w:rPr>
              <w:t>812.901</w:t>
            </w:r>
          </w:p>
        </w:tc>
        <w:tc>
          <w:tcPr>
            <w:tcW w:w="1558" w:type="dxa"/>
          </w:tcPr>
          <w:p>
            <w:pPr>
              <w:pStyle w:val="TableParagraph"/>
              <w:spacing w:before="13"/>
              <w:ind w:left="156" w:right="139"/>
              <w:jc w:val="center"/>
              <w:rPr>
                <w:sz w:val="24"/>
              </w:rPr>
            </w:pPr>
            <w:r>
              <w:rPr>
                <w:sz w:val="24"/>
              </w:rPr>
              <w:t>812.901</w:t>
            </w:r>
          </w:p>
        </w:tc>
      </w:tr>
      <w:tr>
        <w:trPr>
          <w:trHeight w:val="315" w:hRule="atLeast"/>
        </w:trPr>
        <w:tc>
          <w:tcPr>
            <w:tcW w:w="2141" w:type="dxa"/>
            <w:vMerge/>
            <w:tcBorders>
              <w:top w:val="nil"/>
            </w:tcBorders>
          </w:tcPr>
          <w:p>
            <w:pPr>
              <w:rPr>
                <w:sz w:val="2"/>
                <w:szCs w:val="2"/>
              </w:rPr>
            </w:pPr>
          </w:p>
        </w:tc>
        <w:tc>
          <w:tcPr>
            <w:tcW w:w="3829" w:type="dxa"/>
          </w:tcPr>
          <w:p>
            <w:pPr>
              <w:pStyle w:val="TableParagraph"/>
              <w:spacing w:before="10"/>
              <w:ind w:left="515" w:right="503"/>
              <w:jc w:val="center"/>
              <w:rPr>
                <w:sz w:val="24"/>
              </w:rPr>
            </w:pPr>
            <w:r>
              <w:rPr>
                <w:sz w:val="24"/>
              </w:rPr>
              <w:t>Barragem Poço Fundo</w:t>
            </w:r>
          </w:p>
        </w:tc>
        <w:tc>
          <w:tcPr>
            <w:tcW w:w="1844" w:type="dxa"/>
          </w:tcPr>
          <w:p>
            <w:pPr>
              <w:pStyle w:val="TableParagraph"/>
              <w:spacing w:before="10"/>
              <w:ind w:left="232" w:right="217"/>
              <w:jc w:val="center"/>
              <w:rPr>
                <w:sz w:val="24"/>
              </w:rPr>
            </w:pPr>
            <w:r>
              <w:rPr>
                <w:sz w:val="24"/>
              </w:rPr>
              <w:t>12.000</w:t>
            </w:r>
          </w:p>
        </w:tc>
        <w:tc>
          <w:tcPr>
            <w:tcW w:w="1558" w:type="dxa"/>
          </w:tcPr>
          <w:p>
            <w:pPr>
              <w:pStyle w:val="TableParagraph"/>
              <w:spacing w:before="10"/>
              <w:ind w:left="156" w:right="139"/>
              <w:jc w:val="center"/>
              <w:rPr>
                <w:sz w:val="24"/>
              </w:rPr>
            </w:pPr>
            <w:r>
              <w:rPr>
                <w:sz w:val="24"/>
              </w:rPr>
              <w:t>12.000</w:t>
            </w:r>
          </w:p>
        </w:tc>
      </w:tr>
      <w:tr>
        <w:trPr>
          <w:trHeight w:val="313" w:hRule="atLeast"/>
        </w:trPr>
        <w:tc>
          <w:tcPr>
            <w:tcW w:w="2141" w:type="dxa"/>
            <w:vMerge/>
            <w:tcBorders>
              <w:top w:val="nil"/>
            </w:tcBorders>
          </w:tcPr>
          <w:p>
            <w:pPr>
              <w:rPr>
                <w:sz w:val="2"/>
                <w:szCs w:val="2"/>
              </w:rPr>
            </w:pPr>
          </w:p>
        </w:tc>
        <w:tc>
          <w:tcPr>
            <w:tcW w:w="3829" w:type="dxa"/>
          </w:tcPr>
          <w:p>
            <w:pPr>
              <w:pStyle w:val="TableParagraph"/>
              <w:spacing w:before="10"/>
              <w:ind w:left="513" w:right="503"/>
              <w:jc w:val="center"/>
              <w:rPr>
                <w:sz w:val="24"/>
              </w:rPr>
            </w:pPr>
            <w:r>
              <w:rPr>
                <w:sz w:val="24"/>
              </w:rPr>
              <w:t>Barragem do Lagarto</w:t>
            </w:r>
          </w:p>
        </w:tc>
        <w:tc>
          <w:tcPr>
            <w:tcW w:w="1844" w:type="dxa"/>
          </w:tcPr>
          <w:p>
            <w:pPr>
              <w:pStyle w:val="TableParagraph"/>
              <w:spacing w:before="10"/>
              <w:ind w:left="232" w:right="217"/>
              <w:jc w:val="center"/>
              <w:rPr>
                <w:sz w:val="24"/>
              </w:rPr>
            </w:pPr>
            <w:r>
              <w:rPr>
                <w:sz w:val="24"/>
              </w:rPr>
              <w:t>81.400</w:t>
            </w:r>
          </w:p>
        </w:tc>
        <w:tc>
          <w:tcPr>
            <w:tcW w:w="1558" w:type="dxa"/>
          </w:tcPr>
          <w:p>
            <w:pPr>
              <w:pStyle w:val="TableParagraph"/>
              <w:spacing w:before="10"/>
              <w:ind w:left="156" w:right="139"/>
              <w:jc w:val="center"/>
              <w:rPr>
                <w:sz w:val="24"/>
              </w:rPr>
            </w:pPr>
            <w:r>
              <w:rPr>
                <w:sz w:val="24"/>
              </w:rPr>
              <w:t>81.400</w:t>
            </w:r>
          </w:p>
        </w:tc>
      </w:tr>
      <w:tr>
        <w:trPr>
          <w:trHeight w:val="316" w:hRule="atLeast"/>
        </w:trPr>
        <w:tc>
          <w:tcPr>
            <w:tcW w:w="2141" w:type="dxa"/>
            <w:vMerge/>
            <w:tcBorders>
              <w:top w:val="nil"/>
            </w:tcBorders>
          </w:tcPr>
          <w:p>
            <w:pPr>
              <w:rPr>
                <w:sz w:val="2"/>
                <w:szCs w:val="2"/>
              </w:rPr>
            </w:pPr>
          </w:p>
        </w:tc>
        <w:tc>
          <w:tcPr>
            <w:tcW w:w="3829" w:type="dxa"/>
          </w:tcPr>
          <w:p>
            <w:pPr>
              <w:pStyle w:val="TableParagraph"/>
              <w:spacing w:before="13"/>
              <w:ind w:left="516" w:right="503"/>
              <w:jc w:val="center"/>
              <w:rPr>
                <w:sz w:val="24"/>
              </w:rPr>
            </w:pPr>
            <w:r>
              <w:rPr>
                <w:sz w:val="24"/>
              </w:rPr>
              <w:t>Barragem Casa de Pedra</w:t>
            </w:r>
          </w:p>
        </w:tc>
        <w:tc>
          <w:tcPr>
            <w:tcW w:w="1844" w:type="dxa"/>
          </w:tcPr>
          <w:p>
            <w:pPr>
              <w:pStyle w:val="TableParagraph"/>
              <w:spacing w:before="13"/>
              <w:ind w:left="232" w:right="214"/>
              <w:jc w:val="center"/>
              <w:rPr>
                <w:sz w:val="24"/>
              </w:rPr>
            </w:pPr>
            <w:r>
              <w:rPr>
                <w:sz w:val="24"/>
              </w:rPr>
              <w:t>75.460.000*</w:t>
            </w:r>
          </w:p>
        </w:tc>
        <w:tc>
          <w:tcPr>
            <w:tcW w:w="1558" w:type="dxa"/>
          </w:tcPr>
          <w:p>
            <w:pPr>
              <w:pStyle w:val="TableParagraph"/>
              <w:spacing w:before="13"/>
              <w:ind w:left="156" w:right="141"/>
              <w:jc w:val="center"/>
              <w:rPr>
                <w:sz w:val="24"/>
              </w:rPr>
            </w:pPr>
            <w:r>
              <w:rPr>
                <w:sz w:val="24"/>
              </w:rPr>
              <w:t>75.476.000</w:t>
            </w:r>
          </w:p>
        </w:tc>
      </w:tr>
      <w:tr>
        <w:trPr>
          <w:trHeight w:val="313" w:hRule="atLeast"/>
        </w:trPr>
        <w:tc>
          <w:tcPr>
            <w:tcW w:w="2141" w:type="dxa"/>
            <w:vMerge/>
            <w:tcBorders>
              <w:top w:val="nil"/>
            </w:tcBorders>
          </w:tcPr>
          <w:p>
            <w:pPr>
              <w:rPr>
                <w:sz w:val="2"/>
                <w:szCs w:val="2"/>
              </w:rPr>
            </w:pPr>
          </w:p>
        </w:tc>
        <w:tc>
          <w:tcPr>
            <w:tcW w:w="3829" w:type="dxa"/>
          </w:tcPr>
          <w:p>
            <w:pPr>
              <w:pStyle w:val="TableParagraph"/>
              <w:spacing w:before="10"/>
              <w:ind w:left="516" w:right="503"/>
              <w:jc w:val="center"/>
              <w:rPr>
                <w:sz w:val="24"/>
              </w:rPr>
            </w:pPr>
            <w:r>
              <w:rPr>
                <w:sz w:val="24"/>
              </w:rPr>
              <w:t>Barragem B5</w:t>
            </w:r>
          </w:p>
        </w:tc>
        <w:tc>
          <w:tcPr>
            <w:tcW w:w="1844" w:type="dxa"/>
          </w:tcPr>
          <w:p>
            <w:pPr>
              <w:pStyle w:val="TableParagraph"/>
              <w:spacing w:before="10"/>
              <w:ind w:left="232" w:right="215"/>
              <w:jc w:val="center"/>
              <w:rPr>
                <w:sz w:val="24"/>
              </w:rPr>
            </w:pPr>
            <w:r>
              <w:rPr>
                <w:sz w:val="24"/>
              </w:rPr>
              <w:t>5.393.580</w:t>
            </w:r>
          </w:p>
        </w:tc>
        <w:tc>
          <w:tcPr>
            <w:tcW w:w="1558" w:type="dxa"/>
          </w:tcPr>
          <w:p>
            <w:pPr>
              <w:pStyle w:val="TableParagraph"/>
              <w:spacing w:before="10"/>
              <w:ind w:left="156" w:right="141"/>
              <w:jc w:val="center"/>
              <w:rPr>
                <w:sz w:val="24"/>
              </w:rPr>
            </w:pPr>
            <w:r>
              <w:rPr>
                <w:sz w:val="24"/>
              </w:rPr>
              <w:t>5.393.580</w:t>
            </w:r>
          </w:p>
        </w:tc>
      </w:tr>
      <w:tr>
        <w:trPr>
          <w:trHeight w:val="315" w:hRule="atLeast"/>
        </w:trPr>
        <w:tc>
          <w:tcPr>
            <w:tcW w:w="2141" w:type="dxa"/>
            <w:vMerge/>
            <w:tcBorders>
              <w:top w:val="nil"/>
            </w:tcBorders>
          </w:tcPr>
          <w:p>
            <w:pPr>
              <w:rPr>
                <w:sz w:val="2"/>
                <w:szCs w:val="2"/>
              </w:rPr>
            </w:pPr>
          </w:p>
        </w:tc>
        <w:tc>
          <w:tcPr>
            <w:tcW w:w="3829" w:type="dxa"/>
          </w:tcPr>
          <w:p>
            <w:pPr>
              <w:pStyle w:val="TableParagraph"/>
              <w:spacing w:before="13"/>
              <w:ind w:left="516" w:right="503"/>
              <w:jc w:val="center"/>
              <w:rPr>
                <w:sz w:val="24"/>
              </w:rPr>
            </w:pPr>
            <w:r>
              <w:rPr>
                <w:sz w:val="24"/>
              </w:rPr>
              <w:t>Barragem B4</w:t>
            </w:r>
          </w:p>
        </w:tc>
        <w:tc>
          <w:tcPr>
            <w:tcW w:w="1844" w:type="dxa"/>
          </w:tcPr>
          <w:p>
            <w:pPr>
              <w:pStyle w:val="TableParagraph"/>
              <w:spacing w:before="13"/>
              <w:ind w:left="232" w:right="215"/>
              <w:jc w:val="center"/>
              <w:rPr>
                <w:sz w:val="24"/>
              </w:rPr>
            </w:pPr>
            <w:r>
              <w:rPr>
                <w:sz w:val="24"/>
              </w:rPr>
              <w:t>13.001.821</w:t>
            </w:r>
          </w:p>
        </w:tc>
        <w:tc>
          <w:tcPr>
            <w:tcW w:w="1558" w:type="dxa"/>
          </w:tcPr>
          <w:p>
            <w:pPr>
              <w:pStyle w:val="TableParagraph"/>
              <w:spacing w:before="13"/>
              <w:ind w:left="156" w:right="141"/>
              <w:jc w:val="center"/>
              <w:rPr>
                <w:sz w:val="24"/>
              </w:rPr>
            </w:pPr>
            <w:r>
              <w:rPr>
                <w:sz w:val="24"/>
              </w:rPr>
              <w:t>13.001.821</w:t>
            </w:r>
          </w:p>
        </w:tc>
      </w:tr>
      <w:tr>
        <w:trPr>
          <w:trHeight w:val="313" w:hRule="atLeast"/>
        </w:trPr>
        <w:tc>
          <w:tcPr>
            <w:tcW w:w="2141" w:type="dxa"/>
            <w:vMerge/>
            <w:tcBorders>
              <w:top w:val="nil"/>
            </w:tcBorders>
          </w:tcPr>
          <w:p>
            <w:pPr>
              <w:rPr>
                <w:sz w:val="2"/>
                <w:szCs w:val="2"/>
              </w:rPr>
            </w:pPr>
          </w:p>
        </w:tc>
        <w:tc>
          <w:tcPr>
            <w:tcW w:w="3829" w:type="dxa"/>
          </w:tcPr>
          <w:p>
            <w:pPr>
              <w:pStyle w:val="TableParagraph"/>
              <w:spacing w:before="10"/>
              <w:ind w:left="513" w:right="503"/>
              <w:jc w:val="center"/>
              <w:rPr>
                <w:sz w:val="24"/>
              </w:rPr>
            </w:pPr>
            <w:r>
              <w:rPr>
                <w:sz w:val="24"/>
              </w:rPr>
              <w:t>Barragem Auxiliar do Vigia</w:t>
            </w:r>
          </w:p>
        </w:tc>
        <w:tc>
          <w:tcPr>
            <w:tcW w:w="1844" w:type="dxa"/>
          </w:tcPr>
          <w:p>
            <w:pPr>
              <w:pStyle w:val="TableParagraph"/>
              <w:spacing w:before="10"/>
              <w:ind w:left="232" w:right="215"/>
              <w:jc w:val="center"/>
              <w:rPr>
                <w:sz w:val="24"/>
              </w:rPr>
            </w:pPr>
            <w:r>
              <w:rPr>
                <w:sz w:val="24"/>
              </w:rPr>
              <w:t>3.140.693</w:t>
            </w:r>
          </w:p>
        </w:tc>
        <w:tc>
          <w:tcPr>
            <w:tcW w:w="1558" w:type="dxa"/>
          </w:tcPr>
          <w:p>
            <w:pPr>
              <w:pStyle w:val="TableParagraph"/>
              <w:spacing w:before="10"/>
              <w:ind w:left="156" w:right="141"/>
              <w:jc w:val="center"/>
              <w:rPr>
                <w:sz w:val="24"/>
              </w:rPr>
            </w:pPr>
            <w:r>
              <w:rPr>
                <w:sz w:val="24"/>
              </w:rPr>
              <w:t>6.000.000</w:t>
            </w:r>
          </w:p>
        </w:tc>
      </w:tr>
      <w:tr>
        <w:trPr>
          <w:trHeight w:val="316" w:hRule="atLeast"/>
        </w:trPr>
        <w:tc>
          <w:tcPr>
            <w:tcW w:w="2141" w:type="dxa"/>
            <w:vMerge/>
            <w:tcBorders>
              <w:top w:val="nil"/>
            </w:tcBorders>
          </w:tcPr>
          <w:p>
            <w:pPr>
              <w:rPr>
                <w:sz w:val="2"/>
                <w:szCs w:val="2"/>
              </w:rPr>
            </w:pPr>
          </w:p>
        </w:tc>
        <w:tc>
          <w:tcPr>
            <w:tcW w:w="3829" w:type="dxa"/>
          </w:tcPr>
          <w:p>
            <w:pPr>
              <w:pStyle w:val="TableParagraph"/>
              <w:spacing w:before="18"/>
              <w:ind w:left="520" w:right="502"/>
              <w:jc w:val="center"/>
              <w:rPr>
                <w:b/>
                <w:sz w:val="24"/>
              </w:rPr>
            </w:pPr>
            <w:r>
              <w:rPr>
                <w:b/>
                <w:sz w:val="24"/>
              </w:rPr>
              <w:t>TOTAL</w:t>
            </w:r>
          </w:p>
        </w:tc>
        <w:tc>
          <w:tcPr>
            <w:tcW w:w="1844" w:type="dxa"/>
          </w:tcPr>
          <w:p>
            <w:pPr>
              <w:pStyle w:val="TableParagraph"/>
              <w:spacing w:before="18"/>
              <w:ind w:left="232" w:right="215"/>
              <w:jc w:val="center"/>
              <w:rPr>
                <w:b/>
                <w:sz w:val="24"/>
              </w:rPr>
            </w:pPr>
            <w:r>
              <w:rPr>
                <w:b/>
                <w:sz w:val="24"/>
              </w:rPr>
              <w:t>98.347.447</w:t>
            </w:r>
          </w:p>
        </w:tc>
        <w:tc>
          <w:tcPr>
            <w:tcW w:w="1558" w:type="dxa"/>
          </w:tcPr>
          <w:p>
            <w:pPr>
              <w:pStyle w:val="TableParagraph"/>
              <w:spacing w:before="18"/>
              <w:ind w:left="156" w:right="141"/>
              <w:jc w:val="center"/>
              <w:rPr>
                <w:b/>
                <w:sz w:val="24"/>
              </w:rPr>
            </w:pPr>
            <w:r>
              <w:rPr>
                <w:b/>
                <w:sz w:val="24"/>
              </w:rPr>
              <w:t>101.222.754</w:t>
            </w:r>
          </w:p>
        </w:tc>
      </w:tr>
      <w:tr>
        <w:trPr>
          <w:trHeight w:val="315" w:hRule="atLeast"/>
        </w:trPr>
        <w:tc>
          <w:tcPr>
            <w:tcW w:w="2141" w:type="dxa"/>
            <w:vMerge w:val="restart"/>
          </w:tcPr>
          <w:p>
            <w:pPr>
              <w:pStyle w:val="TableParagraph"/>
              <w:rPr>
                <w:sz w:val="24"/>
              </w:rPr>
            </w:pPr>
          </w:p>
          <w:p>
            <w:pPr>
              <w:pStyle w:val="TableParagraph"/>
              <w:rPr>
                <w:sz w:val="24"/>
              </w:rPr>
            </w:pPr>
          </w:p>
          <w:p>
            <w:pPr>
              <w:pStyle w:val="TableParagraph"/>
              <w:spacing w:line="252" w:lineRule="exact" w:before="190"/>
              <w:ind w:left="98" w:right="80"/>
              <w:jc w:val="center"/>
              <w:rPr>
                <w:b/>
                <w:sz w:val="22"/>
              </w:rPr>
            </w:pPr>
            <w:r>
              <w:rPr>
                <w:b/>
                <w:sz w:val="22"/>
              </w:rPr>
              <w:t>VALE</w:t>
            </w:r>
          </w:p>
          <w:p>
            <w:pPr>
              <w:pStyle w:val="TableParagraph"/>
              <w:spacing w:line="252" w:lineRule="exact"/>
              <w:ind w:left="98" w:right="79"/>
              <w:jc w:val="center"/>
              <w:rPr>
                <w:b/>
                <w:sz w:val="22"/>
              </w:rPr>
            </w:pPr>
            <w:r>
              <w:rPr>
                <w:b/>
                <w:sz w:val="22"/>
              </w:rPr>
              <w:t>(05 estruturas)</w:t>
            </w:r>
          </w:p>
        </w:tc>
        <w:tc>
          <w:tcPr>
            <w:tcW w:w="3829" w:type="dxa"/>
          </w:tcPr>
          <w:p>
            <w:pPr>
              <w:pStyle w:val="TableParagraph"/>
              <w:spacing w:before="10"/>
              <w:ind w:left="515" w:right="503"/>
              <w:jc w:val="center"/>
              <w:rPr>
                <w:sz w:val="24"/>
              </w:rPr>
            </w:pPr>
            <w:r>
              <w:rPr>
                <w:sz w:val="24"/>
              </w:rPr>
              <w:t>Gambá</w:t>
            </w:r>
          </w:p>
        </w:tc>
        <w:tc>
          <w:tcPr>
            <w:tcW w:w="1844" w:type="dxa"/>
          </w:tcPr>
          <w:p>
            <w:pPr>
              <w:pStyle w:val="TableParagraph"/>
              <w:spacing w:before="10"/>
              <w:ind w:left="232" w:right="217"/>
              <w:jc w:val="center"/>
              <w:rPr>
                <w:sz w:val="24"/>
              </w:rPr>
            </w:pPr>
            <w:r>
              <w:rPr>
                <w:sz w:val="24"/>
              </w:rPr>
              <w:t>5.000</w:t>
            </w:r>
          </w:p>
        </w:tc>
        <w:tc>
          <w:tcPr>
            <w:tcW w:w="1558" w:type="dxa"/>
          </w:tcPr>
          <w:p>
            <w:pPr>
              <w:pStyle w:val="TableParagraph"/>
              <w:spacing w:before="10"/>
              <w:ind w:left="156" w:right="139"/>
              <w:jc w:val="center"/>
              <w:rPr>
                <w:sz w:val="24"/>
              </w:rPr>
            </w:pPr>
            <w:r>
              <w:rPr>
                <w:sz w:val="24"/>
              </w:rPr>
              <w:t>5.000</w:t>
            </w:r>
          </w:p>
        </w:tc>
      </w:tr>
      <w:tr>
        <w:trPr>
          <w:trHeight w:val="313" w:hRule="atLeast"/>
        </w:trPr>
        <w:tc>
          <w:tcPr>
            <w:tcW w:w="2141" w:type="dxa"/>
            <w:vMerge/>
            <w:tcBorders>
              <w:top w:val="nil"/>
            </w:tcBorders>
          </w:tcPr>
          <w:p>
            <w:pPr>
              <w:rPr>
                <w:sz w:val="2"/>
                <w:szCs w:val="2"/>
              </w:rPr>
            </w:pPr>
          </w:p>
        </w:tc>
        <w:tc>
          <w:tcPr>
            <w:tcW w:w="3829" w:type="dxa"/>
          </w:tcPr>
          <w:p>
            <w:pPr>
              <w:pStyle w:val="TableParagraph"/>
              <w:spacing w:before="10"/>
              <w:ind w:left="517" w:right="503"/>
              <w:jc w:val="center"/>
              <w:rPr>
                <w:sz w:val="24"/>
              </w:rPr>
            </w:pPr>
            <w:r>
              <w:rPr>
                <w:sz w:val="24"/>
              </w:rPr>
              <w:t>Barnabé I</w:t>
            </w:r>
          </w:p>
        </w:tc>
        <w:tc>
          <w:tcPr>
            <w:tcW w:w="1844" w:type="dxa"/>
          </w:tcPr>
          <w:p>
            <w:pPr>
              <w:pStyle w:val="TableParagraph"/>
              <w:spacing w:before="10"/>
              <w:ind w:left="232" w:right="217"/>
              <w:jc w:val="center"/>
              <w:rPr>
                <w:sz w:val="24"/>
              </w:rPr>
            </w:pPr>
            <w:r>
              <w:rPr>
                <w:sz w:val="24"/>
              </w:rPr>
              <w:t>410.000</w:t>
            </w:r>
          </w:p>
        </w:tc>
        <w:tc>
          <w:tcPr>
            <w:tcW w:w="1558" w:type="dxa"/>
          </w:tcPr>
          <w:p>
            <w:pPr>
              <w:pStyle w:val="TableParagraph"/>
              <w:spacing w:before="10"/>
              <w:ind w:left="156" w:right="139"/>
              <w:jc w:val="center"/>
              <w:rPr>
                <w:sz w:val="24"/>
              </w:rPr>
            </w:pPr>
            <w:r>
              <w:rPr>
                <w:sz w:val="24"/>
              </w:rPr>
              <w:t>410.000</w:t>
            </w:r>
          </w:p>
        </w:tc>
      </w:tr>
      <w:tr>
        <w:trPr>
          <w:trHeight w:val="316" w:hRule="atLeast"/>
        </w:trPr>
        <w:tc>
          <w:tcPr>
            <w:tcW w:w="2141" w:type="dxa"/>
            <w:vMerge/>
            <w:tcBorders>
              <w:top w:val="nil"/>
            </w:tcBorders>
          </w:tcPr>
          <w:p>
            <w:pPr>
              <w:rPr>
                <w:sz w:val="2"/>
                <w:szCs w:val="2"/>
              </w:rPr>
            </w:pPr>
          </w:p>
        </w:tc>
        <w:tc>
          <w:tcPr>
            <w:tcW w:w="3829" w:type="dxa"/>
          </w:tcPr>
          <w:p>
            <w:pPr>
              <w:pStyle w:val="TableParagraph"/>
              <w:spacing w:before="13"/>
              <w:ind w:left="515" w:right="503"/>
              <w:jc w:val="center"/>
              <w:rPr>
                <w:sz w:val="24"/>
              </w:rPr>
            </w:pPr>
            <w:r>
              <w:rPr>
                <w:sz w:val="24"/>
              </w:rPr>
              <w:t>Barnabé</w:t>
            </w:r>
          </w:p>
        </w:tc>
        <w:tc>
          <w:tcPr>
            <w:tcW w:w="1844" w:type="dxa"/>
          </w:tcPr>
          <w:p>
            <w:pPr>
              <w:pStyle w:val="TableParagraph"/>
              <w:spacing w:before="13"/>
              <w:ind w:left="232" w:right="217"/>
              <w:jc w:val="center"/>
              <w:rPr>
                <w:sz w:val="24"/>
              </w:rPr>
            </w:pPr>
            <w:r>
              <w:rPr>
                <w:sz w:val="24"/>
              </w:rPr>
              <w:t>318.550</w:t>
            </w:r>
          </w:p>
        </w:tc>
        <w:tc>
          <w:tcPr>
            <w:tcW w:w="1558" w:type="dxa"/>
          </w:tcPr>
          <w:p>
            <w:pPr>
              <w:pStyle w:val="TableParagraph"/>
              <w:spacing w:before="13"/>
              <w:ind w:left="156" w:right="139"/>
              <w:jc w:val="center"/>
              <w:rPr>
                <w:sz w:val="24"/>
              </w:rPr>
            </w:pPr>
            <w:r>
              <w:rPr>
                <w:sz w:val="24"/>
              </w:rPr>
              <w:t>318.550</w:t>
            </w:r>
          </w:p>
        </w:tc>
      </w:tr>
      <w:tr>
        <w:trPr>
          <w:trHeight w:val="313" w:hRule="atLeast"/>
        </w:trPr>
        <w:tc>
          <w:tcPr>
            <w:tcW w:w="2141" w:type="dxa"/>
            <w:vMerge/>
            <w:tcBorders>
              <w:top w:val="nil"/>
            </w:tcBorders>
          </w:tcPr>
          <w:p>
            <w:pPr>
              <w:rPr>
                <w:sz w:val="2"/>
                <w:szCs w:val="2"/>
              </w:rPr>
            </w:pPr>
          </w:p>
        </w:tc>
        <w:tc>
          <w:tcPr>
            <w:tcW w:w="3829" w:type="dxa"/>
          </w:tcPr>
          <w:p>
            <w:pPr>
              <w:pStyle w:val="TableParagraph"/>
              <w:spacing w:before="10"/>
              <w:ind w:left="517" w:right="503"/>
              <w:jc w:val="center"/>
              <w:rPr>
                <w:sz w:val="24"/>
              </w:rPr>
            </w:pPr>
            <w:r>
              <w:rPr>
                <w:sz w:val="24"/>
              </w:rPr>
              <w:t>Baixo João Pereira</w:t>
            </w:r>
          </w:p>
        </w:tc>
        <w:tc>
          <w:tcPr>
            <w:tcW w:w="1844" w:type="dxa"/>
          </w:tcPr>
          <w:p>
            <w:pPr>
              <w:pStyle w:val="TableParagraph"/>
              <w:spacing w:before="10"/>
              <w:ind w:left="232" w:right="217"/>
              <w:jc w:val="center"/>
              <w:rPr>
                <w:sz w:val="24"/>
              </w:rPr>
            </w:pPr>
            <w:r>
              <w:rPr>
                <w:sz w:val="24"/>
              </w:rPr>
              <w:t>142.500</w:t>
            </w:r>
          </w:p>
        </w:tc>
        <w:tc>
          <w:tcPr>
            <w:tcW w:w="1558" w:type="dxa"/>
          </w:tcPr>
          <w:p>
            <w:pPr>
              <w:pStyle w:val="TableParagraph"/>
              <w:spacing w:before="10"/>
              <w:ind w:left="156" w:right="139"/>
              <w:jc w:val="center"/>
              <w:rPr>
                <w:sz w:val="24"/>
              </w:rPr>
            </w:pPr>
            <w:r>
              <w:rPr>
                <w:sz w:val="24"/>
              </w:rPr>
              <w:t>142.500</w:t>
            </w:r>
          </w:p>
        </w:tc>
      </w:tr>
      <w:tr>
        <w:trPr>
          <w:trHeight w:val="315" w:hRule="atLeast"/>
        </w:trPr>
        <w:tc>
          <w:tcPr>
            <w:tcW w:w="2141" w:type="dxa"/>
            <w:vMerge/>
            <w:tcBorders>
              <w:top w:val="nil"/>
            </w:tcBorders>
          </w:tcPr>
          <w:p>
            <w:pPr>
              <w:rPr>
                <w:sz w:val="2"/>
                <w:szCs w:val="2"/>
              </w:rPr>
            </w:pPr>
          </w:p>
        </w:tc>
        <w:tc>
          <w:tcPr>
            <w:tcW w:w="3829" w:type="dxa"/>
          </w:tcPr>
          <w:p>
            <w:pPr>
              <w:pStyle w:val="TableParagraph"/>
              <w:spacing w:before="13"/>
              <w:ind w:left="519" w:right="503"/>
              <w:jc w:val="center"/>
              <w:rPr>
                <w:sz w:val="24"/>
              </w:rPr>
            </w:pPr>
            <w:r>
              <w:rPr>
                <w:sz w:val="24"/>
              </w:rPr>
              <w:t>Alto Jacutinga</w:t>
            </w:r>
          </w:p>
        </w:tc>
        <w:tc>
          <w:tcPr>
            <w:tcW w:w="1844" w:type="dxa"/>
          </w:tcPr>
          <w:p>
            <w:pPr>
              <w:pStyle w:val="TableParagraph"/>
              <w:spacing w:before="13"/>
              <w:ind w:left="232" w:right="217"/>
              <w:jc w:val="center"/>
              <w:rPr>
                <w:sz w:val="24"/>
              </w:rPr>
            </w:pPr>
            <w:r>
              <w:rPr>
                <w:sz w:val="24"/>
              </w:rPr>
              <w:t>60.000</w:t>
            </w:r>
          </w:p>
        </w:tc>
        <w:tc>
          <w:tcPr>
            <w:tcW w:w="1558" w:type="dxa"/>
          </w:tcPr>
          <w:p>
            <w:pPr>
              <w:pStyle w:val="TableParagraph"/>
              <w:spacing w:before="13"/>
              <w:ind w:left="156" w:right="139"/>
              <w:jc w:val="center"/>
              <w:rPr>
                <w:sz w:val="24"/>
              </w:rPr>
            </w:pPr>
            <w:r>
              <w:rPr>
                <w:sz w:val="24"/>
              </w:rPr>
              <w:t>60.000</w:t>
            </w:r>
          </w:p>
        </w:tc>
      </w:tr>
      <w:tr>
        <w:trPr>
          <w:trHeight w:val="316" w:hRule="atLeast"/>
        </w:trPr>
        <w:tc>
          <w:tcPr>
            <w:tcW w:w="2141" w:type="dxa"/>
            <w:vMerge/>
            <w:tcBorders>
              <w:top w:val="nil"/>
            </w:tcBorders>
          </w:tcPr>
          <w:p>
            <w:pPr>
              <w:rPr>
                <w:sz w:val="2"/>
                <w:szCs w:val="2"/>
              </w:rPr>
            </w:pPr>
          </w:p>
        </w:tc>
        <w:tc>
          <w:tcPr>
            <w:tcW w:w="3829" w:type="dxa"/>
          </w:tcPr>
          <w:p>
            <w:pPr>
              <w:pStyle w:val="TableParagraph"/>
              <w:spacing w:before="15"/>
              <w:ind w:left="520" w:right="502"/>
              <w:jc w:val="center"/>
              <w:rPr>
                <w:b/>
                <w:sz w:val="24"/>
              </w:rPr>
            </w:pPr>
            <w:r>
              <w:rPr>
                <w:b/>
                <w:sz w:val="24"/>
              </w:rPr>
              <w:t>TOTAL</w:t>
            </w:r>
          </w:p>
        </w:tc>
        <w:tc>
          <w:tcPr>
            <w:tcW w:w="1844" w:type="dxa"/>
          </w:tcPr>
          <w:p>
            <w:pPr>
              <w:pStyle w:val="TableParagraph"/>
              <w:spacing w:before="15"/>
              <w:ind w:left="232" w:right="217"/>
              <w:jc w:val="center"/>
              <w:rPr>
                <w:b/>
                <w:sz w:val="24"/>
              </w:rPr>
            </w:pPr>
            <w:r>
              <w:rPr>
                <w:b/>
                <w:sz w:val="24"/>
              </w:rPr>
              <w:t>936.050</w:t>
            </w:r>
          </w:p>
        </w:tc>
        <w:tc>
          <w:tcPr>
            <w:tcW w:w="1558" w:type="dxa"/>
          </w:tcPr>
          <w:p>
            <w:pPr>
              <w:pStyle w:val="TableParagraph"/>
              <w:spacing w:before="15"/>
              <w:ind w:left="156" w:right="139"/>
              <w:jc w:val="center"/>
              <w:rPr>
                <w:b/>
                <w:sz w:val="24"/>
              </w:rPr>
            </w:pPr>
            <w:r>
              <w:rPr>
                <w:b/>
                <w:sz w:val="24"/>
              </w:rPr>
              <w:t>936.050</w:t>
            </w:r>
          </w:p>
        </w:tc>
      </w:tr>
      <w:tr>
        <w:trPr>
          <w:trHeight w:val="313" w:hRule="atLeast"/>
        </w:trPr>
        <w:tc>
          <w:tcPr>
            <w:tcW w:w="2141" w:type="dxa"/>
            <w:vMerge w:val="restart"/>
          </w:tcPr>
          <w:p>
            <w:pPr>
              <w:pStyle w:val="TableParagraph"/>
              <w:rPr>
                <w:sz w:val="24"/>
              </w:rPr>
            </w:pPr>
          </w:p>
          <w:p>
            <w:pPr>
              <w:pStyle w:val="TableParagraph"/>
              <w:spacing w:before="3"/>
              <w:rPr>
                <w:sz w:val="29"/>
              </w:rPr>
            </w:pPr>
          </w:p>
          <w:p>
            <w:pPr>
              <w:pStyle w:val="TableParagraph"/>
              <w:ind w:left="457" w:right="437" w:firstLine="1"/>
              <w:jc w:val="center"/>
              <w:rPr>
                <w:b/>
                <w:sz w:val="22"/>
              </w:rPr>
            </w:pPr>
            <w:r>
              <w:rPr>
                <w:b/>
                <w:sz w:val="22"/>
              </w:rPr>
              <w:t>GERDAU AÇOMINAS</w:t>
            </w:r>
          </w:p>
          <w:p>
            <w:pPr>
              <w:pStyle w:val="TableParagraph"/>
              <w:ind w:left="98" w:right="79"/>
              <w:jc w:val="center"/>
              <w:rPr>
                <w:b/>
                <w:sz w:val="22"/>
              </w:rPr>
            </w:pPr>
            <w:r>
              <w:rPr>
                <w:b/>
                <w:sz w:val="22"/>
              </w:rPr>
              <w:t>(05 estruturas)</w:t>
            </w:r>
          </w:p>
        </w:tc>
        <w:tc>
          <w:tcPr>
            <w:tcW w:w="3829" w:type="dxa"/>
          </w:tcPr>
          <w:p>
            <w:pPr>
              <w:pStyle w:val="TableParagraph"/>
              <w:spacing w:before="10"/>
              <w:ind w:left="516" w:right="503"/>
              <w:jc w:val="center"/>
              <w:rPr>
                <w:sz w:val="24"/>
              </w:rPr>
            </w:pPr>
            <w:r>
              <w:rPr>
                <w:sz w:val="24"/>
              </w:rPr>
              <w:t>Barragem Soledade</w:t>
            </w:r>
          </w:p>
        </w:tc>
        <w:tc>
          <w:tcPr>
            <w:tcW w:w="1844" w:type="dxa"/>
          </w:tcPr>
          <w:p>
            <w:pPr>
              <w:pStyle w:val="TableParagraph"/>
              <w:spacing w:before="10"/>
              <w:ind w:left="232" w:right="215"/>
              <w:jc w:val="center"/>
              <w:rPr>
                <w:sz w:val="24"/>
              </w:rPr>
            </w:pPr>
            <w:r>
              <w:rPr>
                <w:sz w:val="24"/>
              </w:rPr>
              <w:t>58.000.000</w:t>
            </w:r>
          </w:p>
        </w:tc>
        <w:tc>
          <w:tcPr>
            <w:tcW w:w="1558" w:type="dxa"/>
          </w:tcPr>
          <w:p>
            <w:pPr>
              <w:pStyle w:val="TableParagraph"/>
              <w:spacing w:before="10"/>
              <w:ind w:left="156" w:right="141"/>
              <w:jc w:val="center"/>
              <w:rPr>
                <w:sz w:val="24"/>
              </w:rPr>
            </w:pPr>
            <w:r>
              <w:rPr>
                <w:sz w:val="24"/>
              </w:rPr>
              <w:t>58.000.000</w:t>
            </w:r>
          </w:p>
        </w:tc>
      </w:tr>
      <w:tr>
        <w:trPr>
          <w:trHeight w:val="316" w:hRule="atLeast"/>
        </w:trPr>
        <w:tc>
          <w:tcPr>
            <w:tcW w:w="2141" w:type="dxa"/>
            <w:vMerge/>
            <w:tcBorders>
              <w:top w:val="nil"/>
            </w:tcBorders>
          </w:tcPr>
          <w:p>
            <w:pPr>
              <w:rPr>
                <w:sz w:val="2"/>
                <w:szCs w:val="2"/>
              </w:rPr>
            </w:pPr>
          </w:p>
        </w:tc>
        <w:tc>
          <w:tcPr>
            <w:tcW w:w="3829" w:type="dxa"/>
          </w:tcPr>
          <w:p>
            <w:pPr>
              <w:pStyle w:val="TableParagraph"/>
              <w:spacing w:before="13"/>
              <w:ind w:left="517" w:right="503"/>
              <w:jc w:val="center"/>
              <w:rPr>
                <w:sz w:val="24"/>
              </w:rPr>
            </w:pPr>
            <w:r>
              <w:rPr>
                <w:sz w:val="24"/>
              </w:rPr>
              <w:t>Baias da UTM 01</w:t>
            </w:r>
          </w:p>
        </w:tc>
        <w:tc>
          <w:tcPr>
            <w:tcW w:w="1844" w:type="dxa"/>
          </w:tcPr>
          <w:p>
            <w:pPr>
              <w:pStyle w:val="TableParagraph"/>
              <w:spacing w:before="13"/>
              <w:ind w:left="232" w:right="217"/>
              <w:jc w:val="center"/>
              <w:rPr>
                <w:sz w:val="24"/>
              </w:rPr>
            </w:pPr>
            <w:r>
              <w:rPr>
                <w:sz w:val="24"/>
              </w:rPr>
              <w:t>60.000</w:t>
            </w:r>
          </w:p>
        </w:tc>
        <w:tc>
          <w:tcPr>
            <w:tcW w:w="1558" w:type="dxa"/>
          </w:tcPr>
          <w:p>
            <w:pPr>
              <w:pStyle w:val="TableParagraph"/>
              <w:spacing w:before="13"/>
              <w:ind w:left="156" w:right="139"/>
              <w:jc w:val="center"/>
              <w:rPr>
                <w:sz w:val="24"/>
              </w:rPr>
            </w:pPr>
            <w:r>
              <w:rPr>
                <w:sz w:val="24"/>
              </w:rPr>
              <w:t>60.000</w:t>
            </w:r>
          </w:p>
        </w:tc>
      </w:tr>
      <w:tr>
        <w:trPr>
          <w:trHeight w:val="313" w:hRule="atLeast"/>
        </w:trPr>
        <w:tc>
          <w:tcPr>
            <w:tcW w:w="2141" w:type="dxa"/>
            <w:vMerge/>
            <w:tcBorders>
              <w:top w:val="nil"/>
            </w:tcBorders>
          </w:tcPr>
          <w:p>
            <w:pPr>
              <w:rPr>
                <w:sz w:val="2"/>
                <w:szCs w:val="2"/>
              </w:rPr>
            </w:pPr>
          </w:p>
        </w:tc>
        <w:tc>
          <w:tcPr>
            <w:tcW w:w="3829" w:type="dxa"/>
          </w:tcPr>
          <w:p>
            <w:pPr>
              <w:pStyle w:val="TableParagraph"/>
              <w:spacing w:before="10"/>
              <w:ind w:left="517" w:right="503"/>
              <w:jc w:val="center"/>
              <w:rPr>
                <w:sz w:val="24"/>
              </w:rPr>
            </w:pPr>
            <w:r>
              <w:rPr>
                <w:sz w:val="24"/>
              </w:rPr>
              <w:t>Baias da UTM 02</w:t>
            </w:r>
          </w:p>
        </w:tc>
        <w:tc>
          <w:tcPr>
            <w:tcW w:w="1844" w:type="dxa"/>
          </w:tcPr>
          <w:p>
            <w:pPr>
              <w:pStyle w:val="TableParagraph"/>
              <w:spacing w:before="10"/>
              <w:ind w:left="232" w:right="217"/>
              <w:jc w:val="center"/>
              <w:rPr>
                <w:sz w:val="24"/>
              </w:rPr>
            </w:pPr>
            <w:r>
              <w:rPr>
                <w:sz w:val="24"/>
              </w:rPr>
              <w:t>42.200</w:t>
            </w:r>
          </w:p>
        </w:tc>
        <w:tc>
          <w:tcPr>
            <w:tcW w:w="1558" w:type="dxa"/>
          </w:tcPr>
          <w:p>
            <w:pPr>
              <w:pStyle w:val="TableParagraph"/>
              <w:spacing w:before="10"/>
              <w:ind w:left="156" w:right="139"/>
              <w:jc w:val="center"/>
              <w:rPr>
                <w:sz w:val="24"/>
              </w:rPr>
            </w:pPr>
            <w:r>
              <w:rPr>
                <w:sz w:val="24"/>
              </w:rPr>
              <w:t>42.200</w:t>
            </w:r>
          </w:p>
        </w:tc>
      </w:tr>
      <w:tr>
        <w:trPr>
          <w:trHeight w:val="315" w:hRule="atLeast"/>
        </w:trPr>
        <w:tc>
          <w:tcPr>
            <w:tcW w:w="2141" w:type="dxa"/>
            <w:vMerge/>
            <w:tcBorders>
              <w:top w:val="nil"/>
            </w:tcBorders>
          </w:tcPr>
          <w:p>
            <w:pPr>
              <w:rPr>
                <w:sz w:val="2"/>
                <w:szCs w:val="2"/>
              </w:rPr>
            </w:pPr>
          </w:p>
        </w:tc>
        <w:tc>
          <w:tcPr>
            <w:tcW w:w="3829" w:type="dxa"/>
          </w:tcPr>
          <w:p>
            <w:pPr>
              <w:pStyle w:val="TableParagraph"/>
              <w:spacing w:before="13"/>
              <w:ind w:left="518" w:right="503"/>
              <w:jc w:val="center"/>
              <w:rPr>
                <w:sz w:val="24"/>
              </w:rPr>
            </w:pPr>
            <w:r>
              <w:rPr>
                <w:sz w:val="24"/>
              </w:rPr>
              <w:t>Barragem de Bocaina</w:t>
            </w:r>
          </w:p>
        </w:tc>
        <w:tc>
          <w:tcPr>
            <w:tcW w:w="1844" w:type="dxa"/>
          </w:tcPr>
          <w:p>
            <w:pPr>
              <w:pStyle w:val="TableParagraph"/>
              <w:spacing w:before="13"/>
              <w:ind w:left="232" w:right="215"/>
              <w:jc w:val="center"/>
              <w:rPr>
                <w:sz w:val="24"/>
              </w:rPr>
            </w:pPr>
            <w:r>
              <w:rPr>
                <w:sz w:val="24"/>
              </w:rPr>
              <w:t>1.003.354</w:t>
            </w:r>
          </w:p>
        </w:tc>
        <w:tc>
          <w:tcPr>
            <w:tcW w:w="1558" w:type="dxa"/>
          </w:tcPr>
          <w:p>
            <w:pPr>
              <w:pStyle w:val="TableParagraph"/>
              <w:spacing w:before="13"/>
              <w:ind w:left="156" w:right="141"/>
              <w:jc w:val="center"/>
              <w:rPr>
                <w:sz w:val="24"/>
              </w:rPr>
            </w:pPr>
            <w:r>
              <w:rPr>
                <w:sz w:val="24"/>
              </w:rPr>
              <w:t>1.003.354</w:t>
            </w:r>
          </w:p>
        </w:tc>
      </w:tr>
      <w:tr>
        <w:trPr>
          <w:trHeight w:val="313" w:hRule="atLeast"/>
        </w:trPr>
        <w:tc>
          <w:tcPr>
            <w:tcW w:w="2141" w:type="dxa"/>
            <w:vMerge/>
            <w:tcBorders>
              <w:top w:val="nil"/>
            </w:tcBorders>
          </w:tcPr>
          <w:p>
            <w:pPr>
              <w:rPr>
                <w:sz w:val="2"/>
                <w:szCs w:val="2"/>
              </w:rPr>
            </w:pPr>
          </w:p>
        </w:tc>
        <w:tc>
          <w:tcPr>
            <w:tcW w:w="3829" w:type="dxa"/>
          </w:tcPr>
          <w:p>
            <w:pPr>
              <w:pStyle w:val="TableParagraph"/>
              <w:spacing w:before="10"/>
              <w:ind w:left="518" w:right="503"/>
              <w:jc w:val="center"/>
              <w:rPr>
                <w:sz w:val="24"/>
              </w:rPr>
            </w:pPr>
            <w:r>
              <w:rPr>
                <w:sz w:val="24"/>
              </w:rPr>
              <w:t>Clarificação de Bocaina</w:t>
            </w:r>
          </w:p>
        </w:tc>
        <w:tc>
          <w:tcPr>
            <w:tcW w:w="1844" w:type="dxa"/>
          </w:tcPr>
          <w:p>
            <w:pPr>
              <w:pStyle w:val="TableParagraph"/>
              <w:spacing w:before="10"/>
              <w:ind w:left="232" w:right="217"/>
              <w:jc w:val="center"/>
              <w:rPr>
                <w:sz w:val="24"/>
              </w:rPr>
            </w:pPr>
            <w:r>
              <w:rPr>
                <w:sz w:val="24"/>
              </w:rPr>
              <w:t>58.200</w:t>
            </w:r>
          </w:p>
        </w:tc>
        <w:tc>
          <w:tcPr>
            <w:tcW w:w="1558" w:type="dxa"/>
          </w:tcPr>
          <w:p>
            <w:pPr>
              <w:pStyle w:val="TableParagraph"/>
              <w:spacing w:before="10"/>
              <w:ind w:left="156" w:right="139"/>
              <w:jc w:val="center"/>
              <w:rPr>
                <w:sz w:val="24"/>
              </w:rPr>
            </w:pPr>
            <w:r>
              <w:rPr>
                <w:sz w:val="24"/>
              </w:rPr>
              <w:t>58.200</w:t>
            </w:r>
          </w:p>
        </w:tc>
      </w:tr>
      <w:tr>
        <w:trPr>
          <w:trHeight w:val="316" w:hRule="atLeast"/>
        </w:trPr>
        <w:tc>
          <w:tcPr>
            <w:tcW w:w="2141" w:type="dxa"/>
            <w:vMerge/>
            <w:tcBorders>
              <w:top w:val="nil"/>
            </w:tcBorders>
          </w:tcPr>
          <w:p>
            <w:pPr>
              <w:rPr>
                <w:sz w:val="2"/>
                <w:szCs w:val="2"/>
              </w:rPr>
            </w:pPr>
          </w:p>
        </w:tc>
        <w:tc>
          <w:tcPr>
            <w:tcW w:w="3829" w:type="dxa"/>
          </w:tcPr>
          <w:p>
            <w:pPr>
              <w:pStyle w:val="TableParagraph"/>
              <w:spacing w:before="18"/>
              <w:ind w:left="520" w:right="502"/>
              <w:jc w:val="center"/>
              <w:rPr>
                <w:b/>
                <w:sz w:val="24"/>
              </w:rPr>
            </w:pPr>
            <w:r>
              <w:rPr>
                <w:b/>
                <w:sz w:val="24"/>
              </w:rPr>
              <w:t>TOTAL</w:t>
            </w:r>
          </w:p>
        </w:tc>
        <w:tc>
          <w:tcPr>
            <w:tcW w:w="1844" w:type="dxa"/>
          </w:tcPr>
          <w:p>
            <w:pPr>
              <w:pStyle w:val="TableParagraph"/>
              <w:spacing w:before="18"/>
              <w:ind w:left="232" w:right="215"/>
              <w:jc w:val="center"/>
              <w:rPr>
                <w:b/>
                <w:sz w:val="24"/>
              </w:rPr>
            </w:pPr>
            <w:r>
              <w:rPr>
                <w:b/>
                <w:sz w:val="24"/>
              </w:rPr>
              <w:t>59.163.754</w:t>
            </w:r>
          </w:p>
        </w:tc>
        <w:tc>
          <w:tcPr>
            <w:tcW w:w="1558" w:type="dxa"/>
          </w:tcPr>
          <w:p>
            <w:pPr>
              <w:pStyle w:val="TableParagraph"/>
              <w:spacing w:before="18"/>
              <w:ind w:left="156" w:right="141"/>
              <w:jc w:val="center"/>
              <w:rPr>
                <w:b/>
                <w:sz w:val="24"/>
              </w:rPr>
            </w:pPr>
            <w:r>
              <w:rPr>
                <w:b/>
                <w:sz w:val="24"/>
              </w:rPr>
              <w:t>59.163.754</w:t>
            </w:r>
          </w:p>
        </w:tc>
      </w:tr>
      <w:tr>
        <w:trPr>
          <w:trHeight w:val="505" w:hRule="atLeast"/>
        </w:trPr>
        <w:tc>
          <w:tcPr>
            <w:tcW w:w="2141" w:type="dxa"/>
          </w:tcPr>
          <w:p>
            <w:pPr>
              <w:pStyle w:val="TableParagraph"/>
              <w:spacing w:line="254" w:lineRule="exact"/>
              <w:ind w:left="335" w:right="298" w:firstLine="206"/>
              <w:rPr>
                <w:b/>
                <w:sz w:val="22"/>
              </w:rPr>
            </w:pPr>
            <w:r>
              <w:rPr>
                <w:b/>
                <w:sz w:val="22"/>
              </w:rPr>
              <w:t>FERROUS RESSOURCES</w:t>
            </w:r>
          </w:p>
        </w:tc>
        <w:tc>
          <w:tcPr>
            <w:tcW w:w="3829" w:type="dxa"/>
          </w:tcPr>
          <w:p>
            <w:pPr>
              <w:pStyle w:val="TableParagraph"/>
              <w:spacing w:before="106"/>
              <w:ind w:left="517" w:right="503"/>
              <w:jc w:val="center"/>
              <w:rPr>
                <w:sz w:val="24"/>
              </w:rPr>
            </w:pPr>
            <w:r>
              <w:rPr>
                <w:sz w:val="24"/>
              </w:rPr>
              <w:t>Conjunto de Baias Viga</w:t>
            </w:r>
          </w:p>
        </w:tc>
        <w:tc>
          <w:tcPr>
            <w:tcW w:w="1844" w:type="dxa"/>
          </w:tcPr>
          <w:p>
            <w:pPr>
              <w:pStyle w:val="TableParagraph"/>
              <w:spacing w:before="111"/>
              <w:ind w:left="232" w:right="217"/>
              <w:jc w:val="center"/>
              <w:rPr>
                <w:b/>
                <w:sz w:val="24"/>
              </w:rPr>
            </w:pPr>
            <w:r>
              <w:rPr>
                <w:b/>
                <w:sz w:val="24"/>
              </w:rPr>
              <w:t>23.891</w:t>
            </w:r>
          </w:p>
        </w:tc>
        <w:tc>
          <w:tcPr>
            <w:tcW w:w="1558" w:type="dxa"/>
          </w:tcPr>
          <w:p>
            <w:pPr>
              <w:pStyle w:val="TableParagraph"/>
              <w:spacing w:before="111"/>
              <w:ind w:left="156" w:right="139"/>
              <w:jc w:val="center"/>
              <w:rPr>
                <w:b/>
                <w:sz w:val="24"/>
              </w:rPr>
            </w:pPr>
            <w:r>
              <w:rPr>
                <w:b/>
                <w:sz w:val="24"/>
              </w:rPr>
              <w:t>23.891</w:t>
            </w:r>
          </w:p>
        </w:tc>
      </w:tr>
      <w:tr>
        <w:trPr>
          <w:trHeight w:val="314" w:hRule="atLeast"/>
        </w:trPr>
        <w:tc>
          <w:tcPr>
            <w:tcW w:w="5970" w:type="dxa"/>
            <w:gridSpan w:val="2"/>
            <w:shd w:val="clear" w:color="auto" w:fill="D9D9D9"/>
          </w:tcPr>
          <w:p>
            <w:pPr>
              <w:pStyle w:val="TableParagraph"/>
              <w:spacing w:before="27"/>
              <w:ind w:left="1751"/>
              <w:rPr>
                <w:b/>
                <w:sz w:val="22"/>
              </w:rPr>
            </w:pPr>
            <w:r>
              <w:rPr>
                <w:b/>
                <w:sz w:val="22"/>
              </w:rPr>
              <w:t>TOTAL ACUMULAÇÃO</w:t>
            </w:r>
          </w:p>
        </w:tc>
        <w:tc>
          <w:tcPr>
            <w:tcW w:w="1844" w:type="dxa"/>
            <w:shd w:val="clear" w:color="auto" w:fill="D9D9D9"/>
          </w:tcPr>
          <w:p>
            <w:pPr>
              <w:pStyle w:val="TableParagraph"/>
              <w:spacing w:before="27"/>
              <w:ind w:left="232" w:right="212"/>
              <w:jc w:val="center"/>
              <w:rPr>
                <w:b/>
                <w:sz w:val="22"/>
              </w:rPr>
            </w:pPr>
            <w:r>
              <w:rPr>
                <w:b/>
                <w:sz w:val="22"/>
              </w:rPr>
              <w:t>158.471.142</w:t>
            </w:r>
          </w:p>
        </w:tc>
        <w:tc>
          <w:tcPr>
            <w:tcW w:w="1558" w:type="dxa"/>
            <w:shd w:val="clear" w:color="auto" w:fill="D9D9D9"/>
          </w:tcPr>
          <w:p>
            <w:pPr>
              <w:pStyle w:val="TableParagraph"/>
              <w:spacing w:before="27"/>
              <w:ind w:left="156" w:right="139"/>
              <w:jc w:val="center"/>
              <w:rPr>
                <w:b/>
                <w:sz w:val="22"/>
              </w:rPr>
            </w:pPr>
            <w:r>
              <w:rPr>
                <w:b/>
                <w:sz w:val="22"/>
              </w:rPr>
              <w:t>161.346.449</w:t>
            </w:r>
          </w:p>
        </w:tc>
      </w:tr>
    </w:tbl>
    <w:p>
      <w:pPr>
        <w:spacing w:line="254" w:lineRule="auto" w:before="2"/>
        <w:ind w:left="1908" w:right="1817" w:hanging="51"/>
        <w:jc w:val="left"/>
        <w:rPr>
          <w:rFonts w:ascii="Arial" w:hAnsi="Arial"/>
          <w:sz w:val="20"/>
        </w:rPr>
      </w:pPr>
      <w:r>
        <w:rPr>
          <w:rFonts w:ascii="Arial" w:hAnsi="Arial"/>
          <w:w w:val="95"/>
          <w:sz w:val="20"/>
        </w:rPr>
        <w:t>*</w:t>
      </w:r>
      <w:r>
        <w:rPr>
          <w:rFonts w:ascii="Arial" w:hAnsi="Arial"/>
          <w:spacing w:val="-24"/>
          <w:w w:val="95"/>
          <w:sz w:val="20"/>
        </w:rPr>
        <w:t> </w:t>
      </w:r>
      <w:r>
        <w:rPr>
          <w:rFonts w:ascii="Arial" w:hAnsi="Arial"/>
          <w:w w:val="95"/>
          <w:sz w:val="20"/>
        </w:rPr>
        <w:t>Volume</w:t>
      </w:r>
      <w:r>
        <w:rPr>
          <w:rFonts w:ascii="Arial" w:hAnsi="Arial"/>
          <w:spacing w:val="-25"/>
          <w:w w:val="95"/>
          <w:sz w:val="20"/>
        </w:rPr>
        <w:t> </w:t>
      </w:r>
      <w:r>
        <w:rPr>
          <w:rFonts w:ascii="Arial" w:hAnsi="Arial"/>
          <w:w w:val="95"/>
          <w:sz w:val="20"/>
        </w:rPr>
        <w:t>indicado</w:t>
      </w:r>
      <w:r>
        <w:rPr>
          <w:rFonts w:ascii="Arial" w:hAnsi="Arial"/>
          <w:spacing w:val="-24"/>
          <w:w w:val="95"/>
          <w:sz w:val="20"/>
        </w:rPr>
        <w:t> </w:t>
      </w:r>
      <w:r>
        <w:rPr>
          <w:rFonts w:ascii="Arial" w:hAnsi="Arial"/>
          <w:w w:val="95"/>
          <w:sz w:val="20"/>
        </w:rPr>
        <w:t>segundo</w:t>
      </w:r>
      <w:r>
        <w:rPr>
          <w:rFonts w:ascii="Arial" w:hAnsi="Arial"/>
          <w:spacing w:val="-24"/>
          <w:w w:val="95"/>
          <w:sz w:val="20"/>
        </w:rPr>
        <w:t> </w:t>
      </w:r>
      <w:r>
        <w:rPr>
          <w:rFonts w:ascii="Arial" w:hAnsi="Arial"/>
          <w:w w:val="95"/>
          <w:sz w:val="20"/>
        </w:rPr>
        <w:t>Laudo</w:t>
      </w:r>
      <w:r>
        <w:rPr>
          <w:rFonts w:ascii="Arial" w:hAnsi="Arial"/>
          <w:spacing w:val="-24"/>
          <w:w w:val="95"/>
          <w:sz w:val="20"/>
        </w:rPr>
        <w:t> </w:t>
      </w:r>
      <w:r>
        <w:rPr>
          <w:rFonts w:ascii="Arial" w:hAnsi="Arial"/>
          <w:w w:val="95"/>
          <w:sz w:val="20"/>
        </w:rPr>
        <w:t>do</w:t>
      </w:r>
      <w:r>
        <w:rPr>
          <w:rFonts w:ascii="Arial" w:hAnsi="Arial"/>
          <w:spacing w:val="-24"/>
          <w:w w:val="95"/>
          <w:sz w:val="20"/>
        </w:rPr>
        <w:t> </w:t>
      </w:r>
      <w:r>
        <w:rPr>
          <w:rFonts w:ascii="Arial" w:hAnsi="Arial"/>
          <w:w w:val="95"/>
          <w:sz w:val="20"/>
        </w:rPr>
        <w:t>Ministério</w:t>
      </w:r>
      <w:r>
        <w:rPr>
          <w:rFonts w:ascii="Arial" w:hAnsi="Arial"/>
          <w:spacing w:val="-23"/>
          <w:w w:val="95"/>
          <w:sz w:val="20"/>
        </w:rPr>
        <w:t> </w:t>
      </w:r>
      <w:r>
        <w:rPr>
          <w:rFonts w:ascii="Arial" w:hAnsi="Arial"/>
          <w:w w:val="95"/>
          <w:sz w:val="20"/>
        </w:rPr>
        <w:t>Público</w:t>
      </w:r>
      <w:r>
        <w:rPr>
          <w:rFonts w:ascii="Arial" w:hAnsi="Arial"/>
          <w:spacing w:val="-24"/>
          <w:w w:val="95"/>
          <w:sz w:val="20"/>
        </w:rPr>
        <w:t> </w:t>
      </w:r>
      <w:r>
        <w:rPr>
          <w:rFonts w:ascii="Arial" w:hAnsi="Arial"/>
          <w:w w:val="95"/>
          <w:sz w:val="20"/>
        </w:rPr>
        <w:t>do</w:t>
      </w:r>
      <w:r>
        <w:rPr>
          <w:rFonts w:ascii="Arial" w:hAnsi="Arial"/>
          <w:spacing w:val="-24"/>
          <w:w w:val="95"/>
          <w:sz w:val="20"/>
        </w:rPr>
        <w:t> </w:t>
      </w:r>
      <w:r>
        <w:rPr>
          <w:rFonts w:ascii="Arial" w:hAnsi="Arial"/>
          <w:w w:val="95"/>
          <w:sz w:val="20"/>
        </w:rPr>
        <w:t>Estado</w:t>
      </w:r>
      <w:r>
        <w:rPr>
          <w:rFonts w:ascii="Arial" w:hAnsi="Arial"/>
          <w:spacing w:val="-24"/>
          <w:w w:val="95"/>
          <w:sz w:val="20"/>
        </w:rPr>
        <w:t> </w:t>
      </w:r>
      <w:r>
        <w:rPr>
          <w:rFonts w:ascii="Arial" w:hAnsi="Arial"/>
          <w:w w:val="95"/>
          <w:sz w:val="20"/>
        </w:rPr>
        <w:t>de</w:t>
      </w:r>
      <w:r>
        <w:rPr>
          <w:rFonts w:ascii="Arial" w:hAnsi="Arial"/>
          <w:spacing w:val="-24"/>
          <w:w w:val="95"/>
          <w:sz w:val="20"/>
        </w:rPr>
        <w:t> </w:t>
      </w:r>
      <w:r>
        <w:rPr>
          <w:rFonts w:ascii="Arial" w:hAnsi="Arial"/>
          <w:w w:val="95"/>
          <w:sz w:val="20"/>
        </w:rPr>
        <w:t>Minas</w:t>
      </w:r>
      <w:r>
        <w:rPr>
          <w:rFonts w:ascii="Arial" w:hAnsi="Arial"/>
          <w:spacing w:val="-24"/>
          <w:w w:val="95"/>
          <w:sz w:val="20"/>
        </w:rPr>
        <w:t> </w:t>
      </w:r>
      <w:r>
        <w:rPr>
          <w:rFonts w:ascii="Arial" w:hAnsi="Arial"/>
          <w:w w:val="95"/>
          <w:sz w:val="20"/>
        </w:rPr>
        <w:t>Gerias,</w:t>
      </w:r>
      <w:r>
        <w:rPr>
          <w:rFonts w:ascii="Arial" w:hAnsi="Arial"/>
          <w:spacing w:val="-24"/>
          <w:w w:val="95"/>
          <w:sz w:val="20"/>
        </w:rPr>
        <w:t> </w:t>
      </w:r>
      <w:r>
        <w:rPr>
          <w:rFonts w:ascii="Arial" w:hAnsi="Arial"/>
          <w:w w:val="95"/>
          <w:sz w:val="20"/>
        </w:rPr>
        <w:t>que</w:t>
      </w:r>
      <w:r>
        <w:rPr>
          <w:rFonts w:ascii="Arial" w:hAnsi="Arial"/>
          <w:spacing w:val="-25"/>
          <w:w w:val="95"/>
          <w:sz w:val="20"/>
        </w:rPr>
        <w:t> </w:t>
      </w:r>
      <w:r>
        <w:rPr>
          <w:rFonts w:ascii="Arial" w:hAnsi="Arial"/>
          <w:w w:val="95"/>
          <w:sz w:val="20"/>
        </w:rPr>
        <w:t>não</w:t>
      </w:r>
      <w:r>
        <w:rPr>
          <w:rFonts w:ascii="Arial" w:hAnsi="Arial"/>
          <w:spacing w:val="-23"/>
          <w:w w:val="95"/>
          <w:sz w:val="20"/>
        </w:rPr>
        <w:t> </w:t>
      </w:r>
      <w:r>
        <w:rPr>
          <w:rFonts w:ascii="Arial" w:hAnsi="Arial"/>
          <w:w w:val="95"/>
          <w:sz w:val="20"/>
        </w:rPr>
        <w:t>confere com</w:t>
      </w:r>
      <w:r>
        <w:rPr>
          <w:rFonts w:ascii="Arial" w:hAnsi="Arial"/>
          <w:spacing w:val="-29"/>
          <w:w w:val="95"/>
          <w:sz w:val="20"/>
        </w:rPr>
        <w:t> </w:t>
      </w:r>
      <w:r>
        <w:rPr>
          <w:rFonts w:ascii="Arial" w:hAnsi="Arial"/>
          <w:w w:val="95"/>
          <w:sz w:val="20"/>
        </w:rPr>
        <w:t>o</w:t>
      </w:r>
      <w:r>
        <w:rPr>
          <w:rFonts w:ascii="Arial" w:hAnsi="Arial"/>
          <w:spacing w:val="-28"/>
          <w:w w:val="95"/>
          <w:sz w:val="20"/>
        </w:rPr>
        <w:t> </w:t>
      </w:r>
      <w:r>
        <w:rPr>
          <w:rFonts w:ascii="Arial" w:hAnsi="Arial"/>
          <w:w w:val="95"/>
          <w:sz w:val="20"/>
        </w:rPr>
        <w:t>fornecido</w:t>
      </w:r>
      <w:r>
        <w:rPr>
          <w:rFonts w:ascii="Arial" w:hAnsi="Arial"/>
          <w:spacing w:val="-27"/>
          <w:w w:val="95"/>
          <w:sz w:val="20"/>
        </w:rPr>
        <w:t> </w:t>
      </w:r>
      <w:r>
        <w:rPr>
          <w:rFonts w:ascii="Arial" w:hAnsi="Arial"/>
          <w:w w:val="95"/>
          <w:sz w:val="20"/>
        </w:rPr>
        <w:t>pela</w:t>
      </w:r>
      <w:r>
        <w:rPr>
          <w:rFonts w:ascii="Arial" w:hAnsi="Arial"/>
          <w:spacing w:val="-27"/>
          <w:w w:val="95"/>
          <w:sz w:val="20"/>
        </w:rPr>
        <w:t> </w:t>
      </w:r>
      <w:r>
        <w:rPr>
          <w:rFonts w:ascii="Arial" w:hAnsi="Arial"/>
          <w:w w:val="95"/>
          <w:sz w:val="20"/>
        </w:rPr>
        <w:t>empresa</w:t>
      </w:r>
      <w:r>
        <w:rPr>
          <w:rFonts w:ascii="Arial" w:hAnsi="Arial"/>
          <w:spacing w:val="-27"/>
          <w:w w:val="95"/>
          <w:sz w:val="20"/>
        </w:rPr>
        <w:t> </w:t>
      </w:r>
      <w:r>
        <w:rPr>
          <w:rFonts w:ascii="Arial" w:hAnsi="Arial"/>
          <w:w w:val="95"/>
          <w:sz w:val="20"/>
        </w:rPr>
        <w:t>CSN</w:t>
      </w:r>
      <w:r>
        <w:rPr>
          <w:rFonts w:ascii="Arial" w:hAnsi="Arial"/>
          <w:spacing w:val="-28"/>
          <w:w w:val="95"/>
          <w:sz w:val="20"/>
        </w:rPr>
        <w:t> </w:t>
      </w:r>
      <w:r>
        <w:rPr>
          <w:rFonts w:ascii="Arial" w:hAnsi="Arial"/>
          <w:w w:val="95"/>
          <w:sz w:val="20"/>
        </w:rPr>
        <w:t>junto</w:t>
      </w:r>
      <w:r>
        <w:rPr>
          <w:rFonts w:ascii="Arial" w:hAnsi="Arial"/>
          <w:spacing w:val="-27"/>
          <w:w w:val="95"/>
          <w:sz w:val="20"/>
        </w:rPr>
        <w:t> </w:t>
      </w:r>
      <w:r>
        <w:rPr>
          <w:rFonts w:ascii="Arial" w:hAnsi="Arial"/>
          <w:w w:val="95"/>
          <w:sz w:val="20"/>
        </w:rPr>
        <w:t>ao</w:t>
      </w:r>
      <w:r>
        <w:rPr>
          <w:rFonts w:ascii="Arial" w:hAnsi="Arial"/>
          <w:spacing w:val="-29"/>
          <w:w w:val="95"/>
          <w:sz w:val="20"/>
        </w:rPr>
        <w:t> </w:t>
      </w:r>
      <w:r>
        <w:rPr>
          <w:rFonts w:ascii="Arial" w:hAnsi="Arial"/>
          <w:w w:val="95"/>
          <w:sz w:val="20"/>
        </w:rPr>
        <w:t>cadastro</w:t>
      </w:r>
      <w:r>
        <w:rPr>
          <w:rFonts w:ascii="Arial" w:hAnsi="Arial"/>
          <w:spacing w:val="-28"/>
          <w:w w:val="95"/>
          <w:sz w:val="20"/>
        </w:rPr>
        <w:t> </w:t>
      </w:r>
      <w:r>
        <w:rPr>
          <w:rFonts w:ascii="Arial" w:hAnsi="Arial"/>
          <w:w w:val="95"/>
          <w:sz w:val="20"/>
        </w:rPr>
        <w:t>nacional</w:t>
      </w:r>
      <w:r>
        <w:rPr>
          <w:rFonts w:ascii="Arial" w:hAnsi="Arial"/>
          <w:spacing w:val="-27"/>
          <w:w w:val="95"/>
          <w:sz w:val="20"/>
        </w:rPr>
        <w:t> </w:t>
      </w:r>
      <w:r>
        <w:rPr>
          <w:rFonts w:ascii="Arial" w:hAnsi="Arial"/>
          <w:w w:val="95"/>
          <w:sz w:val="20"/>
        </w:rPr>
        <w:t>de</w:t>
      </w:r>
      <w:r>
        <w:rPr>
          <w:rFonts w:ascii="Arial" w:hAnsi="Arial"/>
          <w:spacing w:val="-29"/>
          <w:w w:val="95"/>
          <w:sz w:val="20"/>
        </w:rPr>
        <w:t> </w:t>
      </w:r>
      <w:r>
        <w:rPr>
          <w:rFonts w:ascii="Arial" w:hAnsi="Arial"/>
          <w:w w:val="95"/>
          <w:sz w:val="20"/>
        </w:rPr>
        <w:t>barragens</w:t>
      </w:r>
      <w:r>
        <w:rPr>
          <w:rFonts w:ascii="Arial" w:hAnsi="Arial"/>
          <w:spacing w:val="-29"/>
          <w:w w:val="95"/>
          <w:sz w:val="20"/>
        </w:rPr>
        <w:t> </w:t>
      </w:r>
      <w:r>
        <w:rPr>
          <w:rFonts w:ascii="Arial" w:hAnsi="Arial"/>
          <w:w w:val="95"/>
          <w:sz w:val="20"/>
        </w:rPr>
        <w:t>(21.713.715,00</w:t>
      </w:r>
      <w:r>
        <w:rPr>
          <w:rFonts w:ascii="Arial" w:hAnsi="Arial"/>
          <w:spacing w:val="-28"/>
          <w:w w:val="95"/>
          <w:sz w:val="20"/>
        </w:rPr>
        <w:t> </w:t>
      </w:r>
      <w:r>
        <w:rPr>
          <w:rFonts w:ascii="Arial" w:hAnsi="Arial"/>
          <w:w w:val="95"/>
          <w:sz w:val="20"/>
        </w:rPr>
        <w:t>de</w:t>
      </w:r>
      <w:r>
        <w:rPr>
          <w:rFonts w:ascii="Arial" w:hAnsi="Arial"/>
          <w:spacing w:val="-28"/>
          <w:w w:val="95"/>
          <w:sz w:val="20"/>
        </w:rPr>
        <w:t> </w:t>
      </w:r>
      <w:r>
        <w:rPr>
          <w:rFonts w:ascii="Arial" w:hAnsi="Arial"/>
          <w:w w:val="95"/>
          <w:sz w:val="20"/>
        </w:rPr>
        <w:t>m3).</w:t>
      </w:r>
    </w:p>
    <w:p>
      <w:pPr>
        <w:pStyle w:val="BodyText"/>
        <w:rPr>
          <w:rFonts w:ascii="Arial"/>
          <w:sz w:val="20"/>
        </w:rPr>
      </w:pPr>
    </w:p>
    <w:p>
      <w:pPr>
        <w:pStyle w:val="BodyText"/>
        <w:spacing w:before="11"/>
        <w:rPr>
          <w:rFonts w:ascii="Arial"/>
          <w:sz w:val="26"/>
        </w:rPr>
      </w:pPr>
      <w:r>
        <w:rPr/>
        <w:pict>
          <v:shape style="position:absolute;margin-left:475.660004pt;margin-top:16.699047pt;width:40.450pt;height:55.95pt;mso-position-horizontal-relative:page;mso-position-vertical-relative:paragraph;z-index:920;mso-wrap-distance-left:0;mso-wrap-distance-right:0" type="#_x0000_t202" filled="true" fillcolor="#6fac46" stroked="false">
            <v:textbox inset="0,0,0,0">
              <w:txbxContent>
                <w:p>
                  <w:pPr>
                    <w:pStyle w:val="BodyText"/>
                    <w:spacing w:before="10"/>
                    <w:rPr>
                      <w:rFonts w:ascii="Arial"/>
                      <w:sz w:val="29"/>
                    </w:rPr>
                  </w:pPr>
                </w:p>
                <w:p>
                  <w:pPr>
                    <w:spacing w:before="0"/>
                    <w:ind w:left="220" w:right="0" w:firstLine="0"/>
                    <w:jc w:val="left"/>
                    <w:rPr>
                      <w:rFonts w:ascii="Arial"/>
                      <w:sz w:val="36"/>
                    </w:rPr>
                  </w:pPr>
                  <w:r>
                    <w:rPr>
                      <w:rFonts w:ascii="Arial"/>
                      <w:color w:val="FFFFFF"/>
                      <w:sz w:val="36"/>
                    </w:rPr>
                    <w:t>20</w:t>
                  </w:r>
                </w:p>
              </w:txbxContent>
            </v:textbox>
            <v:fill type="solid"/>
            <w10:wrap type="topAndBottom"/>
          </v:shape>
        </w:pict>
      </w:r>
    </w:p>
    <w:p>
      <w:pPr>
        <w:spacing w:after="0"/>
        <w:rPr>
          <w:rFonts w:ascii="Arial"/>
          <w:sz w:val="26"/>
        </w:rPr>
        <w:sectPr>
          <w:type w:val="continuous"/>
          <w:pgSz w:w="11910" w:h="16840"/>
          <w:pgMar w:top="0" w:bottom="280" w:left="0" w:right="0"/>
        </w:sectPr>
      </w:pPr>
    </w:p>
    <w:p>
      <w:pPr>
        <w:pStyle w:val="BodyText"/>
        <w:rPr>
          <w:rFonts w:ascii="Arial"/>
          <w:sz w:val="20"/>
        </w:rPr>
      </w:pPr>
    </w:p>
    <w:p>
      <w:pPr>
        <w:pStyle w:val="BodyText"/>
        <w:rPr>
          <w:rFonts w:ascii="Arial"/>
          <w:sz w:val="20"/>
        </w:rPr>
      </w:pPr>
    </w:p>
    <w:p>
      <w:pPr>
        <w:pStyle w:val="BodyText"/>
        <w:spacing w:before="1"/>
        <w:rPr>
          <w:rFonts w:ascii="Arial"/>
          <w:sz w:val="18"/>
        </w:rPr>
      </w:pPr>
    </w:p>
    <w:p>
      <w:pPr>
        <w:spacing w:after="0"/>
        <w:rPr>
          <w:rFonts w:ascii="Arial"/>
          <w:sz w:val="18"/>
        </w:rPr>
        <w:sectPr>
          <w:pgSz w:w="11910" w:h="16840"/>
          <w:pgMar w:top="0" w:bottom="0" w:left="0" w:right="0"/>
        </w:sectPr>
      </w:pPr>
    </w:p>
    <w:p>
      <w:pPr>
        <w:pStyle w:val="Heading1"/>
        <w:spacing w:line="172" w:lineRule="auto"/>
      </w:pPr>
      <w:r>
        <w:rPr/>
        <w:drawing>
          <wp:anchor distT="0" distB="0" distL="0" distR="0" allowOverlap="1" layoutInCell="1" locked="0" behindDoc="0" simplePos="0" relativeHeight="3112">
            <wp:simplePos x="0" y="0"/>
            <wp:positionH relativeFrom="page">
              <wp:posOffset>979932</wp:posOffset>
            </wp:positionH>
            <wp:positionV relativeFrom="paragraph">
              <wp:posOffset>-9589</wp:posOffset>
            </wp:positionV>
            <wp:extent cx="1478280" cy="612648"/>
            <wp:effectExtent l="0" t="0" r="0" b="0"/>
            <wp:wrapNone/>
            <wp:docPr id="89" name="image8.png" descr=""/>
            <wp:cNvGraphicFramePr>
              <a:graphicFrameLocks noChangeAspect="1"/>
            </wp:cNvGraphicFramePr>
            <a:graphic>
              <a:graphicData uri="http://schemas.openxmlformats.org/drawingml/2006/picture">
                <pic:pic>
                  <pic:nvPicPr>
                    <pic:cNvPr id="90" name="image8.png"/>
                    <pic:cNvPicPr/>
                  </pic:nvPicPr>
                  <pic:blipFill>
                    <a:blip r:embed="rId12" cstate="print"/>
                    <a:stretch>
                      <a:fillRect/>
                    </a:stretch>
                  </pic:blipFill>
                  <pic:spPr>
                    <a:xfrm>
                      <a:off x="0" y="0"/>
                      <a:ext cx="1478280" cy="612648"/>
                    </a:xfrm>
                    <a:prstGeom prst="rect">
                      <a:avLst/>
                    </a:prstGeom>
                  </pic:spPr>
                </pic:pic>
              </a:graphicData>
            </a:graphic>
          </wp:anchor>
        </w:drawing>
      </w:r>
      <w:r>
        <w:rPr>
          <w:color w:val="385522"/>
        </w:rPr>
        <w:t>meio </w:t>
      </w:r>
      <w:r>
        <w:rPr>
          <w:color w:val="385522"/>
          <w:w w:val="95"/>
        </w:rPr>
        <w:t>ambiente</w:t>
      </w:r>
    </w:p>
    <w:p>
      <w:pPr>
        <w:spacing w:before="60"/>
        <w:ind w:left="455" w:right="0" w:firstLine="0"/>
        <w:jc w:val="left"/>
        <w:rPr>
          <w:rFonts w:ascii="Arial" w:hAnsi="Arial"/>
          <w:sz w:val="22"/>
        </w:rPr>
      </w:pPr>
      <w:r>
        <w:rPr/>
        <w:br w:type="column"/>
      </w:r>
      <w:r>
        <w:rPr>
          <w:rFonts w:ascii="Arial" w:hAnsi="Arial"/>
          <w:color w:val="385522"/>
          <w:sz w:val="22"/>
        </w:rPr>
        <w:t>Plano Municipal de Segurança de Barragens-PMSB</w:t>
      </w:r>
    </w:p>
    <w:p>
      <w:pPr>
        <w:spacing w:after="0"/>
        <w:jc w:val="left"/>
        <w:rPr>
          <w:rFonts w:ascii="Arial" w:hAnsi="Arial"/>
          <w:sz w:val="22"/>
        </w:rPr>
        <w:sectPr>
          <w:type w:val="continuous"/>
          <w:pgSz w:w="11910" w:h="16840"/>
          <w:pgMar w:top="0" w:bottom="280" w:left="0" w:right="0"/>
          <w:cols w:num="2" w:equalWidth="0">
            <w:col w:w="5155" w:space="77"/>
            <w:col w:w="6678"/>
          </w:cols>
        </w:sectPr>
      </w:pPr>
    </w:p>
    <w:p>
      <w:pPr>
        <w:pStyle w:val="BodyText"/>
        <w:rPr>
          <w:rFonts w:ascii="Arial"/>
          <w:sz w:val="20"/>
        </w:rPr>
      </w:pPr>
      <w:r>
        <w:rPr/>
        <w:drawing>
          <wp:anchor distT="0" distB="0" distL="0" distR="0" allowOverlap="1" layoutInCell="1" locked="0" behindDoc="0" simplePos="0" relativeHeight="3136">
            <wp:simplePos x="0" y="0"/>
            <wp:positionH relativeFrom="page">
              <wp:posOffset>288925</wp:posOffset>
            </wp:positionH>
            <wp:positionV relativeFrom="page">
              <wp:posOffset>634</wp:posOffset>
            </wp:positionV>
            <wp:extent cx="474344" cy="10691748"/>
            <wp:effectExtent l="0" t="0" r="0" b="0"/>
            <wp:wrapNone/>
            <wp:docPr id="91" name="image9.png" descr=""/>
            <wp:cNvGraphicFramePr>
              <a:graphicFrameLocks noChangeAspect="1"/>
            </wp:cNvGraphicFramePr>
            <a:graphic>
              <a:graphicData uri="http://schemas.openxmlformats.org/drawingml/2006/picture">
                <pic:pic>
                  <pic:nvPicPr>
                    <pic:cNvPr id="92" name="image9.png"/>
                    <pic:cNvPicPr/>
                  </pic:nvPicPr>
                  <pic:blipFill>
                    <a:blip r:embed="rId13" cstate="print"/>
                    <a:stretch>
                      <a:fillRect/>
                    </a:stretch>
                  </pic:blipFill>
                  <pic:spPr>
                    <a:xfrm>
                      <a:off x="0" y="0"/>
                      <a:ext cx="474344" cy="10691748"/>
                    </a:xfrm>
                    <a:prstGeom prst="rect">
                      <a:avLst/>
                    </a:prstGeom>
                  </pic:spPr>
                </pic:pic>
              </a:graphicData>
            </a:graphic>
          </wp:anchor>
        </w:drawing>
      </w: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214"/>
        <w:ind w:left="2062"/>
      </w:pPr>
      <w:r>
        <w:rPr/>
        <w:t>Neste cenário podemos visualizar o seguinte gráfico de distribuição de volumes:</w:t>
      </w:r>
    </w:p>
    <w:p>
      <w:pPr>
        <w:pStyle w:val="BodyText"/>
        <w:rPr>
          <w:sz w:val="20"/>
        </w:rPr>
      </w:pPr>
    </w:p>
    <w:p>
      <w:pPr>
        <w:pStyle w:val="BodyText"/>
        <w:rPr>
          <w:sz w:val="20"/>
        </w:rPr>
      </w:pPr>
    </w:p>
    <w:p>
      <w:pPr>
        <w:pStyle w:val="BodyText"/>
        <w:rPr>
          <w:sz w:val="20"/>
        </w:rPr>
      </w:pPr>
    </w:p>
    <w:p>
      <w:pPr>
        <w:pStyle w:val="BodyText"/>
        <w:spacing w:before="2"/>
        <w:rPr>
          <w:sz w:val="14"/>
        </w:rPr>
      </w:pPr>
      <w:r>
        <w:rPr/>
        <w:pict>
          <v:group style="position:absolute;margin-left:77.599998pt;margin-top:10.108809pt;width:466.55pt;height:468.45pt;mso-position-horizontal-relative:page;mso-position-vertical-relative:paragraph;z-index:1016;mso-wrap-distance-left:0;mso-wrap-distance-right:0" coordorigin="1552,202" coordsize="9331,9369">
            <v:rect style="position:absolute;left:1552;top:202;width:9331;height:9369" filled="true" fillcolor="#bebebe" stroked="false">
              <v:fill type="solid"/>
            </v:rect>
            <v:shape style="position:absolute;left:1704;top:1703;width:9027;height:7667" type="#_x0000_t75" stroked="false">
              <v:imagedata r:id="rId48" o:title=""/>
            </v:shape>
            <v:shape style="position:absolute;left:1552;top:202;width:9331;height:9369" type="#_x0000_t202" filled="false" stroked="false">
              <v:textbox inset="0,0,0,0">
                <w:txbxContent>
                  <w:p>
                    <w:pPr>
                      <w:spacing w:line="240" w:lineRule="auto" w:before="3"/>
                      <w:rPr>
                        <w:sz w:val="30"/>
                      </w:rPr>
                    </w:pPr>
                  </w:p>
                  <w:p>
                    <w:pPr>
                      <w:spacing w:before="0"/>
                      <w:ind w:left="2122" w:right="0" w:firstLine="0"/>
                      <w:jc w:val="left"/>
                      <w:rPr>
                        <w:rFonts w:ascii="Trebuchet MS"/>
                        <w:b/>
                        <w:sz w:val="36"/>
                      </w:rPr>
                    </w:pPr>
                    <w:r>
                      <w:rPr>
                        <w:rFonts w:ascii="Trebuchet MS"/>
                        <w:b/>
                        <w:w w:val="95"/>
                        <w:sz w:val="36"/>
                      </w:rPr>
                      <w:t>BARRAGENS CONGONHAS -</w:t>
                    </w:r>
                    <w:r>
                      <w:rPr>
                        <w:rFonts w:ascii="Trebuchet MS"/>
                        <w:b/>
                        <w:spacing w:val="-76"/>
                        <w:w w:val="95"/>
                        <w:sz w:val="36"/>
                      </w:rPr>
                      <w:t> </w:t>
                    </w:r>
                    <w:r>
                      <w:rPr>
                        <w:rFonts w:ascii="Trebuchet MS"/>
                        <w:b/>
                        <w:w w:val="95"/>
                        <w:sz w:val="36"/>
                      </w:rPr>
                      <w:t>PMSB</w:t>
                    </w:r>
                  </w:p>
                  <w:p>
                    <w:pPr>
                      <w:spacing w:before="54"/>
                      <w:ind w:left="2082" w:right="0" w:firstLine="0"/>
                      <w:jc w:val="left"/>
                      <w:rPr>
                        <w:rFonts w:ascii="Arial" w:hAnsi="Arial"/>
                        <w:sz w:val="32"/>
                      </w:rPr>
                    </w:pPr>
                    <w:r>
                      <w:rPr>
                        <w:rFonts w:ascii="Arial" w:hAnsi="Arial"/>
                        <w:w w:val="95"/>
                        <w:sz w:val="32"/>
                      </w:rPr>
                      <w:t>Total</w:t>
                    </w:r>
                    <w:r>
                      <w:rPr>
                        <w:rFonts w:ascii="Arial" w:hAnsi="Arial"/>
                        <w:spacing w:val="-47"/>
                        <w:w w:val="95"/>
                        <w:sz w:val="32"/>
                      </w:rPr>
                      <w:t> </w:t>
                    </w:r>
                    <w:r>
                      <w:rPr>
                        <w:rFonts w:ascii="Arial" w:hAnsi="Arial"/>
                        <w:w w:val="95"/>
                        <w:sz w:val="32"/>
                      </w:rPr>
                      <w:t>acumulação:</w:t>
                    </w:r>
                    <w:r>
                      <w:rPr>
                        <w:rFonts w:ascii="Arial" w:hAnsi="Arial"/>
                        <w:spacing w:val="-47"/>
                        <w:w w:val="95"/>
                        <w:sz w:val="32"/>
                      </w:rPr>
                      <w:t> </w:t>
                    </w:r>
                    <w:r>
                      <w:rPr>
                        <w:rFonts w:ascii="Arial" w:hAnsi="Arial"/>
                        <w:w w:val="95"/>
                        <w:sz w:val="32"/>
                      </w:rPr>
                      <w:t>158,5</w:t>
                    </w:r>
                    <w:r>
                      <w:rPr>
                        <w:rFonts w:ascii="Arial" w:hAnsi="Arial"/>
                        <w:spacing w:val="-49"/>
                        <w:w w:val="95"/>
                        <w:sz w:val="32"/>
                      </w:rPr>
                      <w:t> </w:t>
                    </w:r>
                    <w:r>
                      <w:rPr>
                        <w:rFonts w:ascii="Arial" w:hAnsi="Arial"/>
                        <w:w w:val="95"/>
                        <w:sz w:val="32"/>
                      </w:rPr>
                      <w:t>milhões</w:t>
                    </w:r>
                    <w:r>
                      <w:rPr>
                        <w:rFonts w:ascii="Arial" w:hAnsi="Arial"/>
                        <w:spacing w:val="-47"/>
                        <w:w w:val="95"/>
                        <w:sz w:val="32"/>
                      </w:rPr>
                      <w:t> </w:t>
                    </w:r>
                    <w:r>
                      <w:rPr>
                        <w:rFonts w:ascii="Arial" w:hAnsi="Arial"/>
                        <w:w w:val="95"/>
                        <w:sz w:val="32"/>
                      </w:rPr>
                      <w:t>de</w:t>
                    </w:r>
                    <w:r>
                      <w:rPr>
                        <w:rFonts w:ascii="Arial" w:hAnsi="Arial"/>
                        <w:spacing w:val="-47"/>
                        <w:w w:val="95"/>
                        <w:sz w:val="32"/>
                      </w:rPr>
                      <w:t> </w:t>
                    </w:r>
                    <w:r>
                      <w:rPr>
                        <w:rFonts w:ascii="Arial" w:hAnsi="Arial"/>
                        <w:w w:val="95"/>
                        <w:sz w:val="32"/>
                      </w:rPr>
                      <w:t>m3</w:t>
                    </w:r>
                  </w:p>
                </w:txbxContent>
              </v:textbox>
              <w10:wrap type="none"/>
            </v:shape>
            <w10:wrap type="topAndBottom"/>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13"/>
        </w:rPr>
      </w:pPr>
      <w:r>
        <w:rPr/>
        <w:pict>
          <v:shape style="position:absolute;margin-left:475.660004pt;margin-top:8.815765pt;width:40.450pt;height:55.95pt;mso-position-horizontal-relative:page;mso-position-vertical-relative:paragraph;z-index:1040;mso-wrap-distance-left:0;mso-wrap-distance-right:0" type="#_x0000_t202" filled="true" fillcolor="#6fac46" stroked="false">
            <v:textbox inset="0,0,0,0">
              <w:txbxContent>
                <w:p>
                  <w:pPr>
                    <w:pStyle w:val="BodyText"/>
                    <w:spacing w:before="10"/>
                    <w:rPr>
                      <w:sz w:val="29"/>
                    </w:rPr>
                  </w:pPr>
                </w:p>
                <w:p>
                  <w:pPr>
                    <w:spacing w:before="0"/>
                    <w:ind w:left="220" w:right="0" w:firstLine="0"/>
                    <w:jc w:val="left"/>
                    <w:rPr>
                      <w:rFonts w:ascii="Arial"/>
                      <w:sz w:val="36"/>
                    </w:rPr>
                  </w:pPr>
                  <w:r>
                    <w:rPr>
                      <w:rFonts w:ascii="Arial"/>
                      <w:color w:val="FFFFFF"/>
                      <w:sz w:val="36"/>
                    </w:rPr>
                    <w:t>21</w:t>
                  </w:r>
                </w:p>
              </w:txbxContent>
            </v:textbox>
            <v:fill type="solid"/>
            <w10:wrap type="topAndBottom"/>
          </v:shape>
        </w:pict>
      </w:r>
    </w:p>
    <w:p>
      <w:pPr>
        <w:spacing w:after="0"/>
        <w:rPr>
          <w:sz w:val="13"/>
        </w:rPr>
        <w:sectPr>
          <w:type w:val="continuous"/>
          <w:pgSz w:w="11910" w:h="16840"/>
          <w:pgMar w:top="0" w:bottom="280" w:left="0" w:right="0"/>
        </w:sectPr>
      </w:pPr>
    </w:p>
    <w:p>
      <w:pPr>
        <w:pStyle w:val="BodyText"/>
        <w:rPr>
          <w:sz w:val="20"/>
        </w:rPr>
      </w:pPr>
    </w:p>
    <w:p>
      <w:pPr>
        <w:pStyle w:val="BodyText"/>
        <w:rPr>
          <w:sz w:val="20"/>
        </w:rPr>
      </w:pPr>
    </w:p>
    <w:p>
      <w:pPr>
        <w:pStyle w:val="BodyText"/>
        <w:spacing w:before="1"/>
        <w:rPr>
          <w:sz w:val="18"/>
        </w:rPr>
      </w:pPr>
    </w:p>
    <w:p>
      <w:pPr>
        <w:spacing w:after="0"/>
        <w:rPr>
          <w:sz w:val="18"/>
        </w:rPr>
        <w:sectPr>
          <w:pgSz w:w="11910" w:h="16840"/>
          <w:pgMar w:top="0" w:bottom="0" w:left="0" w:right="0"/>
        </w:sectPr>
      </w:pPr>
    </w:p>
    <w:p>
      <w:pPr>
        <w:pStyle w:val="Heading1"/>
        <w:spacing w:line="172" w:lineRule="auto"/>
      </w:pPr>
      <w:r>
        <w:rPr/>
        <w:drawing>
          <wp:anchor distT="0" distB="0" distL="0" distR="0" allowOverlap="1" layoutInCell="1" locked="0" behindDoc="0" simplePos="0" relativeHeight="3208">
            <wp:simplePos x="0" y="0"/>
            <wp:positionH relativeFrom="page">
              <wp:posOffset>979932</wp:posOffset>
            </wp:positionH>
            <wp:positionV relativeFrom="paragraph">
              <wp:posOffset>-9589</wp:posOffset>
            </wp:positionV>
            <wp:extent cx="1478280" cy="612648"/>
            <wp:effectExtent l="0" t="0" r="0" b="0"/>
            <wp:wrapNone/>
            <wp:docPr id="93" name="image8.png" descr=""/>
            <wp:cNvGraphicFramePr>
              <a:graphicFrameLocks noChangeAspect="1"/>
            </wp:cNvGraphicFramePr>
            <a:graphic>
              <a:graphicData uri="http://schemas.openxmlformats.org/drawingml/2006/picture">
                <pic:pic>
                  <pic:nvPicPr>
                    <pic:cNvPr id="94" name="image8.png"/>
                    <pic:cNvPicPr/>
                  </pic:nvPicPr>
                  <pic:blipFill>
                    <a:blip r:embed="rId12" cstate="print"/>
                    <a:stretch>
                      <a:fillRect/>
                    </a:stretch>
                  </pic:blipFill>
                  <pic:spPr>
                    <a:xfrm>
                      <a:off x="0" y="0"/>
                      <a:ext cx="1478280" cy="612648"/>
                    </a:xfrm>
                    <a:prstGeom prst="rect">
                      <a:avLst/>
                    </a:prstGeom>
                  </pic:spPr>
                </pic:pic>
              </a:graphicData>
            </a:graphic>
          </wp:anchor>
        </w:drawing>
      </w:r>
      <w:r>
        <w:rPr>
          <w:color w:val="385522"/>
        </w:rPr>
        <w:t>meio </w:t>
      </w:r>
      <w:r>
        <w:rPr>
          <w:color w:val="385522"/>
          <w:w w:val="95"/>
        </w:rPr>
        <w:t>ambiente</w:t>
      </w:r>
    </w:p>
    <w:p>
      <w:pPr>
        <w:spacing w:before="60"/>
        <w:ind w:left="455" w:right="0" w:firstLine="0"/>
        <w:jc w:val="left"/>
        <w:rPr>
          <w:rFonts w:ascii="Arial" w:hAnsi="Arial"/>
          <w:sz w:val="22"/>
        </w:rPr>
      </w:pPr>
      <w:r>
        <w:rPr/>
        <w:br w:type="column"/>
      </w:r>
      <w:r>
        <w:rPr>
          <w:rFonts w:ascii="Arial" w:hAnsi="Arial"/>
          <w:color w:val="385522"/>
          <w:sz w:val="22"/>
        </w:rPr>
        <w:t>Plano Municipal de Segurança de Barragens-PMSB</w:t>
      </w:r>
    </w:p>
    <w:p>
      <w:pPr>
        <w:spacing w:after="0"/>
        <w:jc w:val="left"/>
        <w:rPr>
          <w:rFonts w:ascii="Arial" w:hAnsi="Arial"/>
          <w:sz w:val="22"/>
        </w:rPr>
        <w:sectPr>
          <w:type w:val="continuous"/>
          <w:pgSz w:w="11910" w:h="16840"/>
          <w:pgMar w:top="0" w:bottom="280" w:left="0" w:right="0"/>
          <w:cols w:num="2" w:equalWidth="0">
            <w:col w:w="5155" w:space="77"/>
            <w:col w:w="6678"/>
          </w:cols>
        </w:sectPr>
      </w:pPr>
    </w:p>
    <w:p>
      <w:pPr>
        <w:pStyle w:val="BodyText"/>
        <w:rPr>
          <w:rFonts w:ascii="Arial"/>
          <w:sz w:val="20"/>
        </w:rPr>
      </w:pPr>
      <w:r>
        <w:rPr/>
        <w:drawing>
          <wp:anchor distT="0" distB="0" distL="0" distR="0" allowOverlap="1" layoutInCell="1" locked="0" behindDoc="0" simplePos="0" relativeHeight="3232">
            <wp:simplePos x="0" y="0"/>
            <wp:positionH relativeFrom="page">
              <wp:posOffset>288925</wp:posOffset>
            </wp:positionH>
            <wp:positionV relativeFrom="page">
              <wp:posOffset>634</wp:posOffset>
            </wp:positionV>
            <wp:extent cx="474344" cy="10691748"/>
            <wp:effectExtent l="0" t="0" r="0" b="0"/>
            <wp:wrapNone/>
            <wp:docPr id="95" name="image9.png" descr=""/>
            <wp:cNvGraphicFramePr>
              <a:graphicFrameLocks noChangeAspect="1"/>
            </wp:cNvGraphicFramePr>
            <a:graphic>
              <a:graphicData uri="http://schemas.openxmlformats.org/drawingml/2006/picture">
                <pic:pic>
                  <pic:nvPicPr>
                    <pic:cNvPr id="96" name="image9.png"/>
                    <pic:cNvPicPr/>
                  </pic:nvPicPr>
                  <pic:blipFill>
                    <a:blip r:embed="rId13" cstate="print"/>
                    <a:stretch>
                      <a:fillRect/>
                    </a:stretch>
                  </pic:blipFill>
                  <pic:spPr>
                    <a:xfrm>
                      <a:off x="0" y="0"/>
                      <a:ext cx="474344" cy="10691748"/>
                    </a:xfrm>
                    <a:prstGeom prst="rect">
                      <a:avLst/>
                    </a:prstGeom>
                  </pic:spPr>
                </pic:pic>
              </a:graphicData>
            </a:graphic>
          </wp:anchor>
        </w:drawing>
      </w:r>
    </w:p>
    <w:p>
      <w:pPr>
        <w:pStyle w:val="BodyText"/>
        <w:rPr>
          <w:rFonts w:ascii="Arial"/>
          <w:sz w:val="20"/>
        </w:rPr>
      </w:pPr>
    </w:p>
    <w:p>
      <w:pPr>
        <w:pStyle w:val="BodyText"/>
        <w:spacing w:before="11"/>
        <w:rPr>
          <w:rFonts w:ascii="Arial"/>
          <w:sz w:val="22"/>
        </w:rPr>
      </w:pPr>
    </w:p>
    <w:p>
      <w:pPr>
        <w:pStyle w:val="Heading3"/>
        <w:numPr>
          <w:ilvl w:val="0"/>
          <w:numId w:val="2"/>
        </w:numPr>
        <w:tabs>
          <w:tab w:pos="2346" w:val="left" w:leader="none"/>
        </w:tabs>
        <w:spacing w:line="240" w:lineRule="auto" w:before="0" w:after="0"/>
        <w:ind w:left="2345" w:right="0" w:hanging="360"/>
        <w:jc w:val="left"/>
      </w:pPr>
      <w:bookmarkStart w:name="_bookmark7" w:id="15"/>
      <w:bookmarkEnd w:id="15"/>
      <w:r>
        <w:rPr>
          <w:b w:val="0"/>
        </w:rPr>
      </w:r>
      <w:bookmarkStart w:name="_bookmark7" w:id="16"/>
      <w:bookmarkEnd w:id="16"/>
      <w:r>
        <w:rPr/>
        <w:t>C</w:t>
      </w:r>
      <w:r>
        <w:rPr/>
        <w:t>ONSIDERAÇÕES</w:t>
      </w:r>
      <w:r>
        <w:rPr>
          <w:spacing w:val="-1"/>
        </w:rPr>
        <w:t> </w:t>
      </w:r>
      <w:r>
        <w:rPr/>
        <w:t>IMPORTANTES.</w:t>
      </w:r>
    </w:p>
    <w:p>
      <w:pPr>
        <w:pStyle w:val="BodyText"/>
        <w:rPr>
          <w:b/>
          <w:sz w:val="26"/>
        </w:rPr>
      </w:pPr>
    </w:p>
    <w:p>
      <w:pPr>
        <w:pStyle w:val="BodyText"/>
        <w:spacing w:line="360" w:lineRule="auto" w:before="195"/>
        <w:ind w:left="1702" w:right="1697"/>
        <w:jc w:val="both"/>
      </w:pPr>
      <w:r>
        <w:rPr/>
        <w:t>É fato que os acidentes em barragem continuam a acontecer, proporcionalmente ao tempo em que o volume de rejeito acumulado cresce consideravelmente, como podemos ver no gráfico que segue:</w:t>
      </w:r>
    </w:p>
    <w:p>
      <w:pPr>
        <w:pStyle w:val="BodyText"/>
        <w:spacing w:before="9"/>
        <w:rPr>
          <w:sz w:val="22"/>
        </w:rPr>
      </w:pPr>
      <w:r>
        <w:rPr/>
        <w:drawing>
          <wp:anchor distT="0" distB="0" distL="0" distR="0" allowOverlap="1" layoutInCell="1" locked="0" behindDoc="0" simplePos="0" relativeHeight="1112">
            <wp:simplePos x="0" y="0"/>
            <wp:positionH relativeFrom="page">
              <wp:posOffset>1138555</wp:posOffset>
            </wp:positionH>
            <wp:positionV relativeFrom="paragraph">
              <wp:posOffset>191208</wp:posOffset>
            </wp:positionV>
            <wp:extent cx="5237118" cy="3023235"/>
            <wp:effectExtent l="0" t="0" r="0" b="0"/>
            <wp:wrapTopAndBottom/>
            <wp:docPr id="97" name="image41.jpeg" descr=""/>
            <wp:cNvGraphicFramePr>
              <a:graphicFrameLocks noChangeAspect="1"/>
            </wp:cNvGraphicFramePr>
            <a:graphic>
              <a:graphicData uri="http://schemas.openxmlformats.org/drawingml/2006/picture">
                <pic:pic>
                  <pic:nvPicPr>
                    <pic:cNvPr id="98" name="image41.jpeg"/>
                    <pic:cNvPicPr/>
                  </pic:nvPicPr>
                  <pic:blipFill>
                    <a:blip r:embed="rId49" cstate="print"/>
                    <a:stretch>
                      <a:fillRect/>
                    </a:stretch>
                  </pic:blipFill>
                  <pic:spPr>
                    <a:xfrm>
                      <a:off x="0" y="0"/>
                      <a:ext cx="5237118" cy="3023235"/>
                    </a:xfrm>
                    <a:prstGeom prst="rect">
                      <a:avLst/>
                    </a:prstGeom>
                  </pic:spPr>
                </pic:pic>
              </a:graphicData>
            </a:graphic>
          </wp:anchor>
        </w:drawing>
      </w:r>
    </w:p>
    <w:p>
      <w:pPr>
        <w:pStyle w:val="BodyText"/>
        <w:spacing w:before="7"/>
      </w:pPr>
    </w:p>
    <w:p>
      <w:pPr>
        <w:pStyle w:val="BodyText"/>
        <w:spacing w:line="360" w:lineRule="auto"/>
        <w:ind w:left="1702" w:right="1696"/>
        <w:jc w:val="both"/>
      </w:pPr>
      <w:r>
        <w:rPr/>
        <w:t>A Comissão Internacional de Grandes Barragens - ICOLD expediu através do Boletim nº 121, publicado no ano de 2001, a informação de que dentre as principais causas dos acidentes de barragens, duas ganham atenção especial: </w:t>
      </w:r>
      <w:r>
        <w:rPr>
          <w:b/>
          <w:i/>
        </w:rPr>
        <w:t>i) </w:t>
      </w:r>
      <w:r>
        <w:rPr/>
        <w:t>a deficiência de investigações geológicas e geotécnicas; e, </w:t>
      </w:r>
      <w:r>
        <w:rPr>
          <w:b/>
          <w:i/>
        </w:rPr>
        <w:t>ii) </w:t>
      </w:r>
      <w:r>
        <w:rPr/>
        <w:t>a não aplicação da tecnologia disponível para o projeto, construção e operação das barragens de</w:t>
      </w:r>
      <w:r>
        <w:rPr>
          <w:spacing w:val="-1"/>
        </w:rPr>
        <w:t> </w:t>
      </w:r>
      <w:r>
        <w:rPr/>
        <w:t>rejeitos.</w:t>
      </w:r>
    </w:p>
    <w:p>
      <w:pPr>
        <w:pStyle w:val="BodyText"/>
        <w:spacing w:line="360" w:lineRule="auto" w:before="160"/>
        <w:ind w:left="1702" w:right="1699"/>
        <w:jc w:val="both"/>
      </w:pPr>
      <w:r>
        <w:rPr/>
        <w:t>Neste sentido, resta claro que desde 2001 já havia fortes indícios dos problemas e das medidas que deveriam evoluir, no entanto, as frequentes rupturas continuam a indicar que estas deficiências ainda persistem.</w:t>
      </w:r>
    </w:p>
    <w:p>
      <w:pPr>
        <w:spacing w:line="360" w:lineRule="auto" w:before="160"/>
        <w:ind w:left="1702" w:right="1701" w:firstLine="0"/>
        <w:jc w:val="both"/>
        <w:rPr>
          <w:sz w:val="24"/>
        </w:rPr>
      </w:pPr>
      <w:r>
        <w:rPr>
          <w:sz w:val="24"/>
        </w:rPr>
        <w:t>O engenheiro Joaquim Pimenta de Ávila, representante brasileiro na Comissão Internacional de Grandes Barragens (ICOLD), afirma que “</w:t>
      </w:r>
      <w:r>
        <w:rPr>
          <w:i/>
          <w:sz w:val="24"/>
        </w:rPr>
        <w:t>o setor mineral já dispõe de </w:t>
      </w:r>
      <w:r>
        <w:rPr>
          <w:i/>
          <w:sz w:val="24"/>
        </w:rPr>
        <w:t>tecnologias que garantem mais segurança ao sistema de disposição de rejeitos</w:t>
      </w:r>
      <w:r>
        <w:rPr>
          <w:sz w:val="24"/>
        </w:rPr>
        <w:t>”.</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1"/>
        </w:rPr>
      </w:pPr>
      <w:r>
        <w:rPr/>
        <w:pict>
          <v:shape style="position:absolute;margin-left:475.660004pt;margin-top:13.636186pt;width:40.450pt;height:55.95pt;mso-position-horizontal-relative:page;mso-position-vertical-relative:paragraph;z-index:1136;mso-wrap-distance-left:0;mso-wrap-distance-right:0" type="#_x0000_t202" filled="true" fillcolor="#6fac46" stroked="false">
            <v:textbox inset="0,0,0,0">
              <w:txbxContent>
                <w:p>
                  <w:pPr>
                    <w:pStyle w:val="BodyText"/>
                    <w:spacing w:before="10"/>
                    <w:rPr>
                      <w:sz w:val="29"/>
                    </w:rPr>
                  </w:pPr>
                </w:p>
                <w:p>
                  <w:pPr>
                    <w:spacing w:before="0"/>
                    <w:ind w:left="220" w:right="0" w:firstLine="0"/>
                    <w:jc w:val="left"/>
                    <w:rPr>
                      <w:rFonts w:ascii="Arial"/>
                      <w:sz w:val="36"/>
                    </w:rPr>
                  </w:pPr>
                  <w:r>
                    <w:rPr>
                      <w:rFonts w:ascii="Arial"/>
                      <w:color w:val="FFFFFF"/>
                      <w:sz w:val="36"/>
                    </w:rPr>
                    <w:t>22</w:t>
                  </w:r>
                </w:p>
              </w:txbxContent>
            </v:textbox>
            <v:fill type="solid"/>
            <w10:wrap type="topAndBottom"/>
          </v:shape>
        </w:pict>
      </w:r>
    </w:p>
    <w:p>
      <w:pPr>
        <w:spacing w:after="0"/>
        <w:rPr>
          <w:sz w:val="21"/>
        </w:rPr>
        <w:sectPr>
          <w:type w:val="continuous"/>
          <w:pgSz w:w="11910" w:h="16840"/>
          <w:pgMar w:top="0" w:bottom="280" w:left="0" w:right="0"/>
        </w:sectPr>
      </w:pPr>
    </w:p>
    <w:p>
      <w:pPr>
        <w:pStyle w:val="BodyText"/>
        <w:rPr>
          <w:sz w:val="20"/>
        </w:rPr>
      </w:pPr>
    </w:p>
    <w:p>
      <w:pPr>
        <w:pStyle w:val="BodyText"/>
        <w:rPr>
          <w:sz w:val="20"/>
        </w:rPr>
      </w:pPr>
    </w:p>
    <w:p>
      <w:pPr>
        <w:pStyle w:val="BodyText"/>
        <w:spacing w:before="1"/>
        <w:rPr>
          <w:sz w:val="18"/>
        </w:rPr>
      </w:pPr>
    </w:p>
    <w:p>
      <w:pPr>
        <w:spacing w:after="0"/>
        <w:rPr>
          <w:sz w:val="18"/>
        </w:rPr>
        <w:sectPr>
          <w:pgSz w:w="11910" w:h="16840"/>
          <w:pgMar w:top="0" w:bottom="0" w:left="0" w:right="0"/>
        </w:sectPr>
      </w:pPr>
    </w:p>
    <w:p>
      <w:pPr>
        <w:pStyle w:val="Heading1"/>
        <w:spacing w:line="172" w:lineRule="auto"/>
      </w:pPr>
      <w:r>
        <w:rPr/>
        <w:drawing>
          <wp:anchor distT="0" distB="0" distL="0" distR="0" allowOverlap="1" layoutInCell="1" locked="0" behindDoc="0" simplePos="0" relativeHeight="3304">
            <wp:simplePos x="0" y="0"/>
            <wp:positionH relativeFrom="page">
              <wp:posOffset>979932</wp:posOffset>
            </wp:positionH>
            <wp:positionV relativeFrom="paragraph">
              <wp:posOffset>-9589</wp:posOffset>
            </wp:positionV>
            <wp:extent cx="1478280" cy="612648"/>
            <wp:effectExtent l="0" t="0" r="0" b="0"/>
            <wp:wrapNone/>
            <wp:docPr id="99" name="image8.png" descr=""/>
            <wp:cNvGraphicFramePr>
              <a:graphicFrameLocks noChangeAspect="1"/>
            </wp:cNvGraphicFramePr>
            <a:graphic>
              <a:graphicData uri="http://schemas.openxmlformats.org/drawingml/2006/picture">
                <pic:pic>
                  <pic:nvPicPr>
                    <pic:cNvPr id="100" name="image8.png"/>
                    <pic:cNvPicPr/>
                  </pic:nvPicPr>
                  <pic:blipFill>
                    <a:blip r:embed="rId12" cstate="print"/>
                    <a:stretch>
                      <a:fillRect/>
                    </a:stretch>
                  </pic:blipFill>
                  <pic:spPr>
                    <a:xfrm>
                      <a:off x="0" y="0"/>
                      <a:ext cx="1478280" cy="612648"/>
                    </a:xfrm>
                    <a:prstGeom prst="rect">
                      <a:avLst/>
                    </a:prstGeom>
                  </pic:spPr>
                </pic:pic>
              </a:graphicData>
            </a:graphic>
          </wp:anchor>
        </w:drawing>
      </w:r>
      <w:r>
        <w:rPr>
          <w:color w:val="385522"/>
        </w:rPr>
        <w:t>meio </w:t>
      </w:r>
      <w:r>
        <w:rPr>
          <w:color w:val="385522"/>
          <w:w w:val="95"/>
        </w:rPr>
        <w:t>ambiente</w:t>
      </w:r>
    </w:p>
    <w:p>
      <w:pPr>
        <w:spacing w:before="60"/>
        <w:ind w:left="455" w:right="0" w:firstLine="0"/>
        <w:jc w:val="left"/>
        <w:rPr>
          <w:rFonts w:ascii="Arial" w:hAnsi="Arial"/>
          <w:sz w:val="22"/>
        </w:rPr>
      </w:pPr>
      <w:r>
        <w:rPr/>
        <w:br w:type="column"/>
      </w:r>
      <w:r>
        <w:rPr>
          <w:rFonts w:ascii="Arial" w:hAnsi="Arial"/>
          <w:color w:val="385522"/>
          <w:sz w:val="22"/>
        </w:rPr>
        <w:t>Plano Municipal de Segurança de Barragens-PMSB</w:t>
      </w:r>
    </w:p>
    <w:p>
      <w:pPr>
        <w:spacing w:after="0"/>
        <w:jc w:val="left"/>
        <w:rPr>
          <w:rFonts w:ascii="Arial" w:hAnsi="Arial"/>
          <w:sz w:val="22"/>
        </w:rPr>
        <w:sectPr>
          <w:type w:val="continuous"/>
          <w:pgSz w:w="11910" w:h="16840"/>
          <w:pgMar w:top="0" w:bottom="280" w:left="0" w:right="0"/>
          <w:cols w:num="2" w:equalWidth="0">
            <w:col w:w="5155" w:space="77"/>
            <w:col w:w="6678"/>
          </w:cols>
        </w:sectPr>
      </w:pPr>
    </w:p>
    <w:p>
      <w:pPr>
        <w:pStyle w:val="BodyText"/>
        <w:rPr>
          <w:rFonts w:ascii="Arial"/>
          <w:sz w:val="20"/>
        </w:rPr>
      </w:pPr>
      <w:r>
        <w:rPr/>
        <w:drawing>
          <wp:anchor distT="0" distB="0" distL="0" distR="0" allowOverlap="1" layoutInCell="1" locked="0" behindDoc="0" simplePos="0" relativeHeight="3328">
            <wp:simplePos x="0" y="0"/>
            <wp:positionH relativeFrom="page">
              <wp:posOffset>288925</wp:posOffset>
            </wp:positionH>
            <wp:positionV relativeFrom="page">
              <wp:posOffset>634</wp:posOffset>
            </wp:positionV>
            <wp:extent cx="474344" cy="10691748"/>
            <wp:effectExtent l="0" t="0" r="0" b="0"/>
            <wp:wrapNone/>
            <wp:docPr id="101" name="image9.png" descr=""/>
            <wp:cNvGraphicFramePr>
              <a:graphicFrameLocks noChangeAspect="1"/>
            </wp:cNvGraphicFramePr>
            <a:graphic>
              <a:graphicData uri="http://schemas.openxmlformats.org/drawingml/2006/picture">
                <pic:pic>
                  <pic:nvPicPr>
                    <pic:cNvPr id="102" name="image9.png"/>
                    <pic:cNvPicPr/>
                  </pic:nvPicPr>
                  <pic:blipFill>
                    <a:blip r:embed="rId13" cstate="print"/>
                    <a:stretch>
                      <a:fillRect/>
                    </a:stretch>
                  </pic:blipFill>
                  <pic:spPr>
                    <a:xfrm>
                      <a:off x="0" y="0"/>
                      <a:ext cx="474344" cy="10691748"/>
                    </a:xfrm>
                    <a:prstGeom prst="rect">
                      <a:avLst/>
                    </a:prstGeom>
                  </pic:spPr>
                </pic:pic>
              </a:graphicData>
            </a:graphic>
          </wp:anchor>
        </w:drawing>
      </w:r>
    </w:p>
    <w:p>
      <w:pPr>
        <w:pStyle w:val="BodyText"/>
        <w:rPr>
          <w:rFonts w:ascii="Arial"/>
          <w:sz w:val="20"/>
        </w:rPr>
      </w:pPr>
    </w:p>
    <w:p>
      <w:pPr>
        <w:pStyle w:val="BodyText"/>
        <w:spacing w:before="8"/>
        <w:rPr>
          <w:rFonts w:ascii="Arial"/>
          <w:sz w:val="22"/>
        </w:rPr>
      </w:pPr>
    </w:p>
    <w:p>
      <w:pPr>
        <w:pStyle w:val="BodyText"/>
        <w:spacing w:line="360" w:lineRule="auto" w:before="1"/>
        <w:ind w:left="1702" w:right="1697"/>
        <w:jc w:val="both"/>
      </w:pPr>
      <w:r>
        <w:rPr/>
        <w:t>Segundo Ávila, algumas tecnologias têm como ponto central a eliminação da barragem “impermeável”, retendo os rejeitos que geralmente possuem alto teor de umidade e saturação, ao mesmo tempo em que se elimina a água.</w:t>
      </w:r>
    </w:p>
    <w:p>
      <w:pPr>
        <w:pStyle w:val="BodyText"/>
        <w:spacing w:line="360" w:lineRule="auto" w:before="159"/>
        <w:ind w:left="1702" w:right="1699"/>
        <w:jc w:val="both"/>
      </w:pPr>
      <w:r>
        <w:rPr/>
        <w:t>Como parte desse sistema aplica-se métodos de secagem, ou seja, objetivando a retirada da água dos rejeitos, conforme suas características granulométricas (granulares ou finos). O foco principal destas tecnologias é eliminar ao máximo o principal elemento que causa instabilidade aos reservatórios de rejeitos: </w:t>
      </w:r>
      <w:r>
        <w:rPr>
          <w:b/>
          <w:i/>
        </w:rPr>
        <w:t>a água</w:t>
      </w:r>
      <w:r>
        <w:rPr/>
        <w:t>, que faz parte do beneficiamento e processamento do</w:t>
      </w:r>
      <w:r>
        <w:rPr>
          <w:spacing w:val="-2"/>
        </w:rPr>
        <w:t> </w:t>
      </w:r>
      <w:r>
        <w:rPr/>
        <w:t>minério.</w:t>
      </w:r>
    </w:p>
    <w:p>
      <w:pPr>
        <w:pStyle w:val="BodyText"/>
        <w:spacing w:line="360" w:lineRule="auto" w:before="161"/>
        <w:ind w:left="1702" w:right="1697"/>
        <w:jc w:val="both"/>
      </w:pPr>
      <w:r>
        <w:rPr/>
        <w:t>Em dezembro de 2015 o Conselho Internacional de Metais e Mineração - ICMM expediu nota informando todas as 23 empresas que compõem sua organização haviam fechado um acordo prevendo a “</w:t>
      </w:r>
      <w:r>
        <w:rPr>
          <w:i/>
        </w:rPr>
        <w:t>revisão dos procedimentos de gestão e governança de </w:t>
      </w:r>
      <w:r>
        <w:rPr>
          <w:i/>
        </w:rPr>
        <w:t>instalações de armazenamento de rejeitos</w:t>
      </w:r>
      <w:r>
        <w:rPr/>
        <w:t>”, entre elas estava a BHP Billiton, responsável juntamente com a Vale Mineração, pela Barragem de Fundão, que se rompeu em novembro daquele mesmo ano causando um dos maiores desastres ambientais do</w:t>
      </w:r>
      <w:r>
        <w:rPr>
          <w:spacing w:val="-1"/>
        </w:rPr>
        <w:t> </w:t>
      </w:r>
      <w:r>
        <w:rPr/>
        <w:t>Brasil.</w:t>
      </w:r>
    </w:p>
    <w:p>
      <w:pPr>
        <w:pStyle w:val="BodyText"/>
        <w:spacing w:line="360" w:lineRule="auto" w:before="159"/>
        <w:ind w:left="1702" w:right="1697"/>
        <w:jc w:val="both"/>
      </w:pPr>
      <w:r>
        <w:rPr/>
        <w:t>Após o acordo, o ICMM e contratou junto a </w:t>
      </w:r>
      <w:r>
        <w:rPr>
          <w:i/>
        </w:rPr>
        <w:t>Golder Associates</w:t>
      </w:r>
      <w:r>
        <w:rPr/>
        <w:t>, uma multinacional de serviços independentes de consultoria, projeto e construções em áreas especializadas, um estudo para detalhar o problema das</w:t>
      </w:r>
      <w:r>
        <w:rPr>
          <w:spacing w:val="-3"/>
        </w:rPr>
        <w:t> </w:t>
      </w:r>
      <w:r>
        <w:rPr/>
        <w:t>barragens.</w:t>
      </w:r>
    </w:p>
    <w:p>
      <w:pPr>
        <w:spacing w:line="360" w:lineRule="auto" w:before="161"/>
        <w:ind w:left="1702" w:right="1697" w:firstLine="0"/>
        <w:jc w:val="both"/>
        <w:rPr>
          <w:sz w:val="24"/>
        </w:rPr>
      </w:pPr>
      <w:r>
        <w:rPr>
          <w:sz w:val="24"/>
        </w:rPr>
        <w:t>Ao final, o estudo propôs mudanças nas diretrizes da gestão de barragens e suas propostas foram inseridas num guia intitulado “</w:t>
      </w:r>
      <w:r>
        <w:rPr>
          <w:i/>
          <w:sz w:val="24"/>
        </w:rPr>
        <w:t>Position statement on preventing </w:t>
      </w:r>
      <w:r>
        <w:rPr>
          <w:i/>
          <w:sz w:val="24"/>
        </w:rPr>
        <w:t>catastrophic failure of tailings storage facilities</w:t>
      </w:r>
      <w:r>
        <w:rPr>
          <w:sz w:val="24"/>
        </w:rPr>
        <w:t>”</w:t>
      </w:r>
      <w:r>
        <w:rPr>
          <w:sz w:val="24"/>
          <w:vertAlign w:val="superscript"/>
        </w:rPr>
        <w:t>7</w:t>
      </w:r>
      <w:r>
        <w:rPr>
          <w:sz w:val="24"/>
          <w:vertAlign w:val="baseline"/>
        </w:rPr>
        <w:t>, que recomendou dez princípios às empresas, sendo que, sete deles, o ICMM destaca como sendo “relevantes para a prevenção de falhas catastróficas” nas estruturas de armazenamento de rejeitos:</w:t>
      </w:r>
    </w:p>
    <w:p>
      <w:pPr>
        <w:pStyle w:val="BodyText"/>
        <w:rPr>
          <w:sz w:val="26"/>
        </w:rPr>
      </w:pPr>
    </w:p>
    <w:p>
      <w:pPr>
        <w:pStyle w:val="BodyText"/>
        <w:spacing w:before="8"/>
        <w:rPr>
          <w:sz w:val="37"/>
        </w:rPr>
      </w:pPr>
    </w:p>
    <w:p>
      <w:pPr>
        <w:pStyle w:val="ListParagraph"/>
        <w:numPr>
          <w:ilvl w:val="0"/>
          <w:numId w:val="7"/>
        </w:numPr>
        <w:tabs>
          <w:tab w:pos="2768" w:val="left" w:leader="none"/>
        </w:tabs>
        <w:spacing w:line="276" w:lineRule="auto" w:before="0" w:after="0"/>
        <w:ind w:left="2767" w:right="1701" w:hanging="357"/>
        <w:jc w:val="left"/>
        <w:rPr>
          <w:i/>
          <w:sz w:val="24"/>
        </w:rPr>
      </w:pPr>
      <w:r>
        <w:rPr>
          <w:i/>
          <w:sz w:val="24"/>
        </w:rPr>
        <w:t>Princípio 1: ética e transparência na prática de negócios voltados ao </w:t>
      </w:r>
      <w:r>
        <w:rPr>
          <w:i/>
          <w:sz w:val="24"/>
        </w:rPr>
        <w:t>desenvolvimento</w:t>
      </w:r>
      <w:r>
        <w:rPr>
          <w:i/>
          <w:spacing w:val="-1"/>
          <w:sz w:val="24"/>
        </w:rPr>
        <w:t> </w:t>
      </w:r>
      <w:r>
        <w:rPr>
          <w:i/>
          <w:sz w:val="24"/>
        </w:rPr>
        <w:t>sustentável;</w:t>
      </w:r>
    </w:p>
    <w:p>
      <w:pPr>
        <w:pStyle w:val="BodyText"/>
        <w:rPr>
          <w:i/>
          <w:sz w:val="20"/>
        </w:rPr>
      </w:pPr>
    </w:p>
    <w:p>
      <w:pPr>
        <w:pStyle w:val="BodyText"/>
        <w:rPr>
          <w:i/>
          <w:sz w:val="20"/>
        </w:rPr>
      </w:pPr>
    </w:p>
    <w:p>
      <w:pPr>
        <w:pStyle w:val="BodyText"/>
        <w:spacing w:before="9"/>
        <w:rPr>
          <w:i/>
          <w:sz w:val="22"/>
        </w:rPr>
      </w:pPr>
      <w:r>
        <w:rPr/>
        <w:pict>
          <v:line style="position:absolute;mso-position-horizontal-relative:page;mso-position-vertical-relative:paragraph;z-index:1208;mso-wrap-distance-left:0;mso-wrap-distance-right:0" from="85.103996pt,15.456967pt" to="229.123996pt,15.456967pt" stroked="true" strokeweight=".72003pt" strokecolor="#000000">
            <v:stroke dashstyle="solid"/>
            <w10:wrap type="topAndBottom"/>
          </v:line>
        </w:pict>
      </w:r>
    </w:p>
    <w:p>
      <w:pPr>
        <w:spacing w:line="254" w:lineRule="auto" w:before="38"/>
        <w:ind w:left="1702" w:right="1696" w:firstLine="0"/>
        <w:jc w:val="both"/>
        <w:rPr>
          <w:rFonts w:ascii="Arial"/>
          <w:sz w:val="20"/>
        </w:rPr>
      </w:pPr>
      <w:r>
        <w:rPr>
          <w:rFonts w:ascii="Arial"/>
          <w:position w:val="10"/>
          <w:sz w:val="13"/>
        </w:rPr>
        <w:t>7 </w:t>
      </w:r>
      <w:r>
        <w:rPr>
          <w:rFonts w:ascii="Arial"/>
          <w:sz w:val="20"/>
        </w:rPr>
        <w:t>Position statement on preventing catastrophic failure of tailings storage facilities. December </w:t>
      </w:r>
      <w:r>
        <w:rPr>
          <w:rFonts w:ascii="Arial"/>
          <w:w w:val="95"/>
          <w:sz w:val="20"/>
        </w:rPr>
        <w:t>2016.December 2016. Acessado em: http://138.197.213.186:5000/media/documents/161205_icmm- </w:t>
      </w:r>
      <w:r>
        <w:rPr>
          <w:rFonts w:ascii="Arial"/>
          <w:sz w:val="20"/>
        </w:rPr>
        <w:t>position-statement_tailings-governance.pdf</w:t>
      </w:r>
    </w:p>
    <w:p>
      <w:pPr>
        <w:pStyle w:val="BodyText"/>
        <w:spacing w:before="4"/>
        <w:rPr>
          <w:rFonts w:ascii="Arial"/>
          <w:sz w:val="25"/>
        </w:rPr>
      </w:pPr>
      <w:r>
        <w:rPr/>
        <w:pict>
          <v:shape style="position:absolute;margin-left:475.660004pt;margin-top:15.802079pt;width:40.450pt;height:55.95pt;mso-position-horizontal-relative:page;mso-position-vertical-relative:paragraph;z-index:1232;mso-wrap-distance-left:0;mso-wrap-distance-right:0" type="#_x0000_t202" filled="true" fillcolor="#6fac46" stroked="false">
            <v:textbox inset="0,0,0,0">
              <w:txbxContent>
                <w:p>
                  <w:pPr>
                    <w:pStyle w:val="BodyText"/>
                    <w:spacing w:before="10"/>
                    <w:rPr>
                      <w:rFonts w:ascii="Arial"/>
                      <w:sz w:val="29"/>
                    </w:rPr>
                  </w:pPr>
                </w:p>
                <w:p>
                  <w:pPr>
                    <w:spacing w:before="0"/>
                    <w:ind w:left="220" w:right="0" w:firstLine="0"/>
                    <w:jc w:val="left"/>
                    <w:rPr>
                      <w:rFonts w:ascii="Arial"/>
                      <w:sz w:val="36"/>
                    </w:rPr>
                  </w:pPr>
                  <w:r>
                    <w:rPr>
                      <w:rFonts w:ascii="Arial"/>
                      <w:color w:val="FFFFFF"/>
                      <w:sz w:val="36"/>
                    </w:rPr>
                    <w:t>23</w:t>
                  </w:r>
                </w:p>
              </w:txbxContent>
            </v:textbox>
            <v:fill type="solid"/>
            <w10:wrap type="topAndBottom"/>
          </v:shape>
        </w:pict>
      </w:r>
    </w:p>
    <w:p>
      <w:pPr>
        <w:spacing w:after="0"/>
        <w:rPr>
          <w:rFonts w:ascii="Arial"/>
          <w:sz w:val="25"/>
        </w:rPr>
        <w:sectPr>
          <w:type w:val="continuous"/>
          <w:pgSz w:w="11910" w:h="16840"/>
          <w:pgMar w:top="0" w:bottom="280" w:left="0" w:right="0"/>
        </w:sectPr>
      </w:pPr>
    </w:p>
    <w:p>
      <w:pPr>
        <w:pStyle w:val="BodyText"/>
        <w:rPr>
          <w:rFonts w:ascii="Arial"/>
          <w:sz w:val="20"/>
        </w:rPr>
      </w:pPr>
    </w:p>
    <w:p>
      <w:pPr>
        <w:pStyle w:val="BodyText"/>
        <w:rPr>
          <w:rFonts w:ascii="Arial"/>
          <w:sz w:val="20"/>
        </w:rPr>
      </w:pPr>
    </w:p>
    <w:p>
      <w:pPr>
        <w:pStyle w:val="BodyText"/>
        <w:spacing w:before="1"/>
        <w:rPr>
          <w:rFonts w:ascii="Arial"/>
          <w:sz w:val="18"/>
        </w:rPr>
      </w:pPr>
    </w:p>
    <w:p>
      <w:pPr>
        <w:spacing w:after="0"/>
        <w:rPr>
          <w:rFonts w:ascii="Arial"/>
          <w:sz w:val="18"/>
        </w:rPr>
        <w:sectPr>
          <w:pgSz w:w="11910" w:h="16840"/>
          <w:pgMar w:top="0" w:bottom="0" w:left="0" w:right="0"/>
        </w:sectPr>
      </w:pPr>
    </w:p>
    <w:p>
      <w:pPr>
        <w:pStyle w:val="Heading1"/>
        <w:spacing w:line="172" w:lineRule="auto"/>
      </w:pPr>
      <w:r>
        <w:rPr/>
        <w:drawing>
          <wp:anchor distT="0" distB="0" distL="0" distR="0" allowOverlap="1" layoutInCell="1" locked="0" behindDoc="0" simplePos="0" relativeHeight="3376">
            <wp:simplePos x="0" y="0"/>
            <wp:positionH relativeFrom="page">
              <wp:posOffset>979932</wp:posOffset>
            </wp:positionH>
            <wp:positionV relativeFrom="paragraph">
              <wp:posOffset>-9589</wp:posOffset>
            </wp:positionV>
            <wp:extent cx="1478280" cy="612648"/>
            <wp:effectExtent l="0" t="0" r="0" b="0"/>
            <wp:wrapNone/>
            <wp:docPr id="103" name="image8.png" descr=""/>
            <wp:cNvGraphicFramePr>
              <a:graphicFrameLocks noChangeAspect="1"/>
            </wp:cNvGraphicFramePr>
            <a:graphic>
              <a:graphicData uri="http://schemas.openxmlformats.org/drawingml/2006/picture">
                <pic:pic>
                  <pic:nvPicPr>
                    <pic:cNvPr id="104" name="image8.png"/>
                    <pic:cNvPicPr/>
                  </pic:nvPicPr>
                  <pic:blipFill>
                    <a:blip r:embed="rId12" cstate="print"/>
                    <a:stretch>
                      <a:fillRect/>
                    </a:stretch>
                  </pic:blipFill>
                  <pic:spPr>
                    <a:xfrm>
                      <a:off x="0" y="0"/>
                      <a:ext cx="1478280" cy="612648"/>
                    </a:xfrm>
                    <a:prstGeom prst="rect">
                      <a:avLst/>
                    </a:prstGeom>
                  </pic:spPr>
                </pic:pic>
              </a:graphicData>
            </a:graphic>
          </wp:anchor>
        </w:drawing>
      </w:r>
      <w:r>
        <w:rPr>
          <w:color w:val="385522"/>
        </w:rPr>
        <w:t>meio </w:t>
      </w:r>
      <w:r>
        <w:rPr>
          <w:color w:val="385522"/>
          <w:w w:val="95"/>
        </w:rPr>
        <w:t>ambiente</w:t>
      </w:r>
    </w:p>
    <w:p>
      <w:pPr>
        <w:spacing w:before="60"/>
        <w:ind w:left="455" w:right="0" w:firstLine="0"/>
        <w:jc w:val="left"/>
        <w:rPr>
          <w:rFonts w:ascii="Arial" w:hAnsi="Arial"/>
          <w:sz w:val="22"/>
        </w:rPr>
      </w:pPr>
      <w:r>
        <w:rPr/>
        <w:br w:type="column"/>
      </w:r>
      <w:r>
        <w:rPr>
          <w:rFonts w:ascii="Arial" w:hAnsi="Arial"/>
          <w:color w:val="385522"/>
          <w:sz w:val="22"/>
        </w:rPr>
        <w:t>Plano Municipal de Segurança de Barragens-PMSB</w:t>
      </w:r>
    </w:p>
    <w:p>
      <w:pPr>
        <w:spacing w:after="0"/>
        <w:jc w:val="left"/>
        <w:rPr>
          <w:rFonts w:ascii="Arial" w:hAnsi="Arial"/>
          <w:sz w:val="22"/>
        </w:rPr>
        <w:sectPr>
          <w:type w:val="continuous"/>
          <w:pgSz w:w="11910" w:h="16840"/>
          <w:pgMar w:top="0" w:bottom="280" w:left="0" w:right="0"/>
          <w:cols w:num="2" w:equalWidth="0">
            <w:col w:w="5155" w:space="77"/>
            <w:col w:w="6678"/>
          </w:cols>
        </w:sectPr>
      </w:pPr>
    </w:p>
    <w:p>
      <w:pPr>
        <w:pStyle w:val="BodyText"/>
        <w:rPr>
          <w:rFonts w:ascii="Arial"/>
          <w:sz w:val="20"/>
        </w:rPr>
      </w:pPr>
      <w:r>
        <w:rPr/>
        <w:drawing>
          <wp:anchor distT="0" distB="0" distL="0" distR="0" allowOverlap="1" layoutInCell="1" locked="0" behindDoc="0" simplePos="0" relativeHeight="3400">
            <wp:simplePos x="0" y="0"/>
            <wp:positionH relativeFrom="page">
              <wp:posOffset>288925</wp:posOffset>
            </wp:positionH>
            <wp:positionV relativeFrom="page">
              <wp:posOffset>634</wp:posOffset>
            </wp:positionV>
            <wp:extent cx="474344" cy="10691748"/>
            <wp:effectExtent l="0" t="0" r="0" b="0"/>
            <wp:wrapNone/>
            <wp:docPr id="105" name="image9.png" descr=""/>
            <wp:cNvGraphicFramePr>
              <a:graphicFrameLocks noChangeAspect="1"/>
            </wp:cNvGraphicFramePr>
            <a:graphic>
              <a:graphicData uri="http://schemas.openxmlformats.org/drawingml/2006/picture">
                <pic:pic>
                  <pic:nvPicPr>
                    <pic:cNvPr id="106" name="image9.png"/>
                    <pic:cNvPicPr/>
                  </pic:nvPicPr>
                  <pic:blipFill>
                    <a:blip r:embed="rId13" cstate="print"/>
                    <a:stretch>
                      <a:fillRect/>
                    </a:stretch>
                  </pic:blipFill>
                  <pic:spPr>
                    <a:xfrm>
                      <a:off x="0" y="0"/>
                      <a:ext cx="474344" cy="10691748"/>
                    </a:xfrm>
                    <a:prstGeom prst="rect">
                      <a:avLst/>
                    </a:prstGeom>
                  </pic:spPr>
                </pic:pic>
              </a:graphicData>
            </a:graphic>
          </wp:anchor>
        </w:drawing>
      </w:r>
    </w:p>
    <w:p>
      <w:pPr>
        <w:pStyle w:val="BodyText"/>
        <w:rPr>
          <w:rFonts w:ascii="Arial"/>
          <w:sz w:val="20"/>
        </w:rPr>
      </w:pPr>
    </w:p>
    <w:p>
      <w:pPr>
        <w:pStyle w:val="BodyText"/>
        <w:spacing w:before="8"/>
        <w:rPr>
          <w:rFonts w:ascii="Arial"/>
          <w:sz w:val="22"/>
        </w:rPr>
      </w:pPr>
    </w:p>
    <w:p>
      <w:pPr>
        <w:pStyle w:val="ListParagraph"/>
        <w:numPr>
          <w:ilvl w:val="0"/>
          <w:numId w:val="7"/>
        </w:numPr>
        <w:tabs>
          <w:tab w:pos="2768" w:val="left" w:leader="none"/>
        </w:tabs>
        <w:spacing w:line="276" w:lineRule="auto" w:before="1" w:after="0"/>
        <w:ind w:left="2767" w:right="1698" w:hanging="357"/>
        <w:jc w:val="both"/>
        <w:rPr>
          <w:i/>
          <w:sz w:val="24"/>
        </w:rPr>
      </w:pPr>
      <w:r>
        <w:rPr>
          <w:i/>
          <w:sz w:val="24"/>
        </w:rPr>
        <w:t>Princípio 2: integrar o desenvolvimento sustentável na estratégia </w:t>
      </w:r>
      <w:r>
        <w:rPr>
          <w:i/>
          <w:sz w:val="24"/>
        </w:rPr>
        <w:t>empresarial e nos processos de tomada de</w:t>
      </w:r>
      <w:r>
        <w:rPr>
          <w:i/>
          <w:spacing w:val="-3"/>
          <w:sz w:val="24"/>
        </w:rPr>
        <w:t> </w:t>
      </w:r>
      <w:r>
        <w:rPr>
          <w:i/>
          <w:sz w:val="24"/>
        </w:rPr>
        <w:t>decisão;</w:t>
      </w:r>
    </w:p>
    <w:p>
      <w:pPr>
        <w:pStyle w:val="BodyText"/>
        <w:rPr>
          <w:i/>
          <w:sz w:val="26"/>
        </w:rPr>
      </w:pPr>
    </w:p>
    <w:p>
      <w:pPr>
        <w:pStyle w:val="BodyText"/>
        <w:spacing w:before="7"/>
        <w:rPr>
          <w:i/>
          <w:sz w:val="20"/>
        </w:rPr>
      </w:pPr>
    </w:p>
    <w:p>
      <w:pPr>
        <w:pStyle w:val="ListParagraph"/>
        <w:numPr>
          <w:ilvl w:val="0"/>
          <w:numId w:val="7"/>
        </w:numPr>
        <w:tabs>
          <w:tab w:pos="2768" w:val="left" w:leader="none"/>
        </w:tabs>
        <w:spacing w:line="276" w:lineRule="auto" w:before="0" w:after="0"/>
        <w:ind w:left="2767" w:right="1701" w:hanging="357"/>
        <w:jc w:val="both"/>
        <w:rPr>
          <w:i/>
          <w:sz w:val="24"/>
        </w:rPr>
      </w:pPr>
      <w:r>
        <w:rPr>
          <w:i/>
          <w:sz w:val="24"/>
        </w:rPr>
        <w:t>Princípio 4: implementar estratégias e sistemas de gestão de risco eficazes e </w:t>
      </w:r>
      <w:r>
        <w:rPr>
          <w:i/>
          <w:sz w:val="24"/>
        </w:rPr>
        <w:t>baseadas em ciência sólida e que levem em conta a percepção dos riscos por parte das</w:t>
      </w:r>
      <w:r>
        <w:rPr>
          <w:i/>
          <w:spacing w:val="-1"/>
          <w:sz w:val="24"/>
        </w:rPr>
        <w:t> </w:t>
      </w:r>
      <w:r>
        <w:rPr>
          <w:i/>
          <w:sz w:val="24"/>
        </w:rPr>
        <w:t>partes;</w:t>
      </w:r>
    </w:p>
    <w:p>
      <w:pPr>
        <w:pStyle w:val="BodyText"/>
        <w:rPr>
          <w:i/>
          <w:sz w:val="26"/>
        </w:rPr>
      </w:pPr>
    </w:p>
    <w:p>
      <w:pPr>
        <w:pStyle w:val="BodyText"/>
        <w:spacing w:before="9"/>
        <w:rPr>
          <w:i/>
          <w:sz w:val="20"/>
        </w:rPr>
      </w:pPr>
    </w:p>
    <w:p>
      <w:pPr>
        <w:pStyle w:val="ListParagraph"/>
        <w:numPr>
          <w:ilvl w:val="0"/>
          <w:numId w:val="7"/>
        </w:numPr>
        <w:tabs>
          <w:tab w:pos="2768" w:val="left" w:leader="none"/>
        </w:tabs>
        <w:spacing w:line="276" w:lineRule="auto" w:before="0" w:after="0"/>
        <w:ind w:left="2767" w:right="1701" w:hanging="357"/>
        <w:jc w:val="both"/>
        <w:rPr>
          <w:i/>
          <w:sz w:val="24"/>
        </w:rPr>
      </w:pPr>
      <w:r>
        <w:rPr>
          <w:i/>
          <w:sz w:val="24"/>
        </w:rPr>
        <w:t>Princípio 5: promover ações voltadas à saúde e segurança com objetivo de </w:t>
      </w:r>
      <w:r>
        <w:rPr>
          <w:i/>
          <w:sz w:val="24"/>
        </w:rPr>
        <w:t>zero</w:t>
      </w:r>
      <w:r>
        <w:rPr>
          <w:i/>
          <w:spacing w:val="-1"/>
          <w:sz w:val="24"/>
        </w:rPr>
        <w:t> </w:t>
      </w:r>
      <w:r>
        <w:rPr>
          <w:i/>
          <w:sz w:val="24"/>
        </w:rPr>
        <w:t>dano;</w:t>
      </w:r>
    </w:p>
    <w:p>
      <w:pPr>
        <w:pStyle w:val="BodyText"/>
        <w:rPr>
          <w:i/>
          <w:sz w:val="26"/>
        </w:rPr>
      </w:pPr>
    </w:p>
    <w:p>
      <w:pPr>
        <w:pStyle w:val="BodyText"/>
        <w:spacing w:before="11"/>
        <w:rPr>
          <w:i/>
          <w:sz w:val="20"/>
        </w:rPr>
      </w:pPr>
    </w:p>
    <w:p>
      <w:pPr>
        <w:pStyle w:val="ListParagraph"/>
        <w:numPr>
          <w:ilvl w:val="0"/>
          <w:numId w:val="7"/>
        </w:numPr>
        <w:tabs>
          <w:tab w:pos="2768" w:val="left" w:leader="none"/>
        </w:tabs>
        <w:spacing w:line="276" w:lineRule="auto" w:before="0" w:after="0"/>
        <w:ind w:left="2767" w:right="1701" w:hanging="357"/>
        <w:jc w:val="both"/>
        <w:rPr>
          <w:i/>
          <w:sz w:val="24"/>
        </w:rPr>
      </w:pPr>
      <w:r>
        <w:rPr>
          <w:i/>
          <w:sz w:val="24"/>
        </w:rPr>
        <w:t>Princípio 6: melhorar continuamente o desempenho ambiental relacionado, </w:t>
      </w:r>
      <w:r>
        <w:rPr>
          <w:i/>
          <w:sz w:val="24"/>
        </w:rPr>
        <w:t>por exemplo, à gestão da água, uso de energia e mudanças</w:t>
      </w:r>
      <w:r>
        <w:rPr>
          <w:i/>
          <w:spacing w:val="-4"/>
          <w:sz w:val="24"/>
        </w:rPr>
        <w:t> </w:t>
      </w:r>
      <w:r>
        <w:rPr>
          <w:i/>
          <w:sz w:val="24"/>
        </w:rPr>
        <w:t>climáticas;</w:t>
      </w:r>
    </w:p>
    <w:p>
      <w:pPr>
        <w:pStyle w:val="BodyText"/>
        <w:rPr>
          <w:i/>
          <w:sz w:val="26"/>
        </w:rPr>
      </w:pPr>
    </w:p>
    <w:p>
      <w:pPr>
        <w:pStyle w:val="BodyText"/>
        <w:spacing w:before="7"/>
        <w:rPr>
          <w:i/>
          <w:sz w:val="20"/>
        </w:rPr>
      </w:pPr>
    </w:p>
    <w:p>
      <w:pPr>
        <w:pStyle w:val="ListParagraph"/>
        <w:numPr>
          <w:ilvl w:val="0"/>
          <w:numId w:val="7"/>
        </w:numPr>
        <w:tabs>
          <w:tab w:pos="2768" w:val="left" w:leader="none"/>
        </w:tabs>
        <w:spacing w:line="276" w:lineRule="auto" w:before="0" w:after="0"/>
        <w:ind w:left="2767" w:right="1702" w:hanging="357"/>
        <w:jc w:val="both"/>
        <w:rPr>
          <w:i/>
          <w:sz w:val="24"/>
        </w:rPr>
      </w:pPr>
      <w:r>
        <w:rPr>
          <w:i/>
          <w:sz w:val="24"/>
        </w:rPr>
        <w:t>Princípio 7: contribuir para a conservação da biodiversidade e executar </w:t>
      </w:r>
      <w:r>
        <w:rPr>
          <w:i/>
          <w:sz w:val="24"/>
        </w:rPr>
        <w:t>ações voltadas ao planejamento do uso da terra;</w:t>
      </w:r>
    </w:p>
    <w:p>
      <w:pPr>
        <w:pStyle w:val="BodyText"/>
        <w:rPr>
          <w:i/>
          <w:sz w:val="26"/>
        </w:rPr>
      </w:pPr>
    </w:p>
    <w:p>
      <w:pPr>
        <w:pStyle w:val="BodyText"/>
        <w:spacing w:before="10"/>
        <w:rPr>
          <w:i/>
          <w:sz w:val="20"/>
        </w:rPr>
      </w:pPr>
    </w:p>
    <w:p>
      <w:pPr>
        <w:pStyle w:val="ListParagraph"/>
        <w:numPr>
          <w:ilvl w:val="0"/>
          <w:numId w:val="7"/>
        </w:numPr>
        <w:tabs>
          <w:tab w:pos="2768" w:val="left" w:leader="none"/>
        </w:tabs>
        <w:spacing w:line="276" w:lineRule="auto" w:before="0" w:after="0"/>
        <w:ind w:left="2767" w:right="1700" w:hanging="357"/>
        <w:jc w:val="both"/>
        <w:rPr>
          <w:i/>
          <w:sz w:val="24"/>
        </w:rPr>
      </w:pPr>
      <w:r>
        <w:rPr>
          <w:i/>
          <w:sz w:val="24"/>
        </w:rPr>
        <w:t>Princípio 10: envolver de forma proativa as partes interessadas em desafios </w:t>
      </w:r>
      <w:r>
        <w:rPr>
          <w:i/>
          <w:sz w:val="24"/>
        </w:rPr>
        <w:t>e oportunidades de desenvolvimento sustentável de uma forma aberta e transparente.</w:t>
      </w:r>
    </w:p>
    <w:p>
      <w:pPr>
        <w:pStyle w:val="BodyText"/>
        <w:rPr>
          <w:i/>
          <w:sz w:val="26"/>
        </w:rPr>
      </w:pPr>
    </w:p>
    <w:p>
      <w:pPr>
        <w:pStyle w:val="BodyText"/>
        <w:spacing w:before="7"/>
        <w:rPr>
          <w:i/>
          <w:sz w:val="34"/>
        </w:rPr>
      </w:pPr>
    </w:p>
    <w:p>
      <w:pPr>
        <w:spacing w:line="360" w:lineRule="auto" w:before="0"/>
        <w:ind w:left="1702" w:right="1696" w:firstLine="0"/>
        <w:jc w:val="both"/>
        <w:rPr>
          <w:sz w:val="24"/>
        </w:rPr>
      </w:pPr>
      <w:r>
        <w:rPr>
          <w:sz w:val="24"/>
        </w:rPr>
        <w:t>O guia também traz uma declaração de reconhecimento do ICMM de “</w:t>
      </w:r>
      <w:r>
        <w:rPr>
          <w:i/>
          <w:sz w:val="24"/>
        </w:rPr>
        <w:t>que a produção </w:t>
      </w:r>
      <w:r>
        <w:rPr>
          <w:i/>
          <w:sz w:val="24"/>
        </w:rPr>
        <w:t>de rejeitos é inerente ao processo da mineração e que continuará crescendo</w:t>
      </w:r>
      <w:r>
        <w:rPr>
          <w:sz w:val="24"/>
        </w:rPr>
        <w:t>”, no entanto o conselho classifica também como “</w:t>
      </w:r>
      <w:r>
        <w:rPr>
          <w:i/>
          <w:sz w:val="24"/>
        </w:rPr>
        <w:t>inaceitáveis as falhas catastróficas nas </w:t>
      </w:r>
      <w:r>
        <w:rPr>
          <w:i/>
          <w:sz w:val="24"/>
        </w:rPr>
        <w:t>instalações de armazenamento de</w:t>
      </w:r>
      <w:r>
        <w:rPr>
          <w:i/>
          <w:spacing w:val="-1"/>
          <w:sz w:val="24"/>
        </w:rPr>
        <w:t> </w:t>
      </w:r>
      <w:r>
        <w:rPr>
          <w:i/>
          <w:sz w:val="24"/>
        </w:rPr>
        <w:t>rejeitos</w:t>
      </w:r>
      <w:r>
        <w:rPr>
          <w:sz w:val="24"/>
        </w:rPr>
        <w:t>”.</w:t>
      </w:r>
    </w:p>
    <w:p>
      <w:pPr>
        <w:pStyle w:val="BodyText"/>
        <w:spacing w:line="360" w:lineRule="auto" w:before="161"/>
        <w:ind w:left="1702" w:right="1697"/>
        <w:jc w:val="both"/>
      </w:pPr>
      <w:r>
        <w:rPr/>
        <w:t>Alguns estudos apontam que os efeitos de piping e o galgamento figuram dentre as principais causas de ruptura, tendo sua origem em dois fatores principais: causas climáticas/naturais e gestão deficiente.</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1"/>
        </w:rPr>
      </w:pPr>
      <w:r>
        <w:rPr/>
        <w:pict>
          <v:shape style="position:absolute;margin-left:475.660004pt;margin-top:13.334926pt;width:40.450pt;height:55.95pt;mso-position-horizontal-relative:page;mso-position-vertical-relative:paragraph;z-index:1304;mso-wrap-distance-left:0;mso-wrap-distance-right:0" type="#_x0000_t202" filled="true" fillcolor="#6fac46" stroked="false">
            <v:textbox inset="0,0,0,0">
              <w:txbxContent>
                <w:p>
                  <w:pPr>
                    <w:pStyle w:val="BodyText"/>
                    <w:spacing w:before="10"/>
                    <w:rPr>
                      <w:sz w:val="29"/>
                    </w:rPr>
                  </w:pPr>
                </w:p>
                <w:p>
                  <w:pPr>
                    <w:spacing w:before="0"/>
                    <w:ind w:left="220" w:right="0" w:firstLine="0"/>
                    <w:jc w:val="left"/>
                    <w:rPr>
                      <w:rFonts w:ascii="Arial"/>
                      <w:sz w:val="36"/>
                    </w:rPr>
                  </w:pPr>
                  <w:r>
                    <w:rPr>
                      <w:rFonts w:ascii="Arial"/>
                      <w:color w:val="FFFFFF"/>
                      <w:sz w:val="36"/>
                    </w:rPr>
                    <w:t>24</w:t>
                  </w:r>
                </w:p>
              </w:txbxContent>
            </v:textbox>
            <v:fill type="solid"/>
            <w10:wrap type="topAndBottom"/>
          </v:shape>
        </w:pict>
      </w:r>
    </w:p>
    <w:p>
      <w:pPr>
        <w:spacing w:after="0"/>
        <w:rPr>
          <w:sz w:val="21"/>
        </w:rPr>
        <w:sectPr>
          <w:type w:val="continuous"/>
          <w:pgSz w:w="11910" w:h="16840"/>
          <w:pgMar w:top="0" w:bottom="280" w:left="0" w:right="0"/>
        </w:sectPr>
      </w:pPr>
    </w:p>
    <w:p>
      <w:pPr>
        <w:pStyle w:val="BodyText"/>
        <w:rPr>
          <w:sz w:val="20"/>
        </w:rPr>
      </w:pPr>
    </w:p>
    <w:p>
      <w:pPr>
        <w:pStyle w:val="BodyText"/>
        <w:rPr>
          <w:sz w:val="20"/>
        </w:rPr>
      </w:pPr>
    </w:p>
    <w:p>
      <w:pPr>
        <w:pStyle w:val="BodyText"/>
        <w:spacing w:before="1"/>
        <w:rPr>
          <w:sz w:val="18"/>
        </w:rPr>
      </w:pPr>
    </w:p>
    <w:p>
      <w:pPr>
        <w:spacing w:after="0"/>
        <w:rPr>
          <w:sz w:val="18"/>
        </w:rPr>
        <w:sectPr>
          <w:pgSz w:w="11910" w:h="16840"/>
          <w:pgMar w:top="0" w:bottom="0" w:left="0" w:right="0"/>
        </w:sectPr>
      </w:pPr>
    </w:p>
    <w:p>
      <w:pPr>
        <w:pStyle w:val="Heading1"/>
        <w:spacing w:line="172" w:lineRule="auto"/>
      </w:pPr>
      <w:r>
        <w:rPr/>
        <w:drawing>
          <wp:anchor distT="0" distB="0" distL="0" distR="0" allowOverlap="1" layoutInCell="1" locked="0" behindDoc="0" simplePos="0" relativeHeight="3472">
            <wp:simplePos x="0" y="0"/>
            <wp:positionH relativeFrom="page">
              <wp:posOffset>979932</wp:posOffset>
            </wp:positionH>
            <wp:positionV relativeFrom="paragraph">
              <wp:posOffset>-9589</wp:posOffset>
            </wp:positionV>
            <wp:extent cx="1478280" cy="612648"/>
            <wp:effectExtent l="0" t="0" r="0" b="0"/>
            <wp:wrapNone/>
            <wp:docPr id="107" name="image8.png" descr=""/>
            <wp:cNvGraphicFramePr>
              <a:graphicFrameLocks noChangeAspect="1"/>
            </wp:cNvGraphicFramePr>
            <a:graphic>
              <a:graphicData uri="http://schemas.openxmlformats.org/drawingml/2006/picture">
                <pic:pic>
                  <pic:nvPicPr>
                    <pic:cNvPr id="108" name="image8.png"/>
                    <pic:cNvPicPr/>
                  </pic:nvPicPr>
                  <pic:blipFill>
                    <a:blip r:embed="rId12" cstate="print"/>
                    <a:stretch>
                      <a:fillRect/>
                    </a:stretch>
                  </pic:blipFill>
                  <pic:spPr>
                    <a:xfrm>
                      <a:off x="0" y="0"/>
                      <a:ext cx="1478280" cy="612648"/>
                    </a:xfrm>
                    <a:prstGeom prst="rect">
                      <a:avLst/>
                    </a:prstGeom>
                  </pic:spPr>
                </pic:pic>
              </a:graphicData>
            </a:graphic>
          </wp:anchor>
        </w:drawing>
      </w:r>
      <w:r>
        <w:rPr>
          <w:color w:val="385522"/>
        </w:rPr>
        <w:t>meio </w:t>
      </w:r>
      <w:r>
        <w:rPr>
          <w:color w:val="385522"/>
          <w:w w:val="95"/>
        </w:rPr>
        <w:t>ambiente</w:t>
      </w:r>
    </w:p>
    <w:p>
      <w:pPr>
        <w:spacing w:before="60"/>
        <w:ind w:left="455" w:right="0" w:firstLine="0"/>
        <w:jc w:val="left"/>
        <w:rPr>
          <w:rFonts w:ascii="Arial" w:hAnsi="Arial"/>
          <w:sz w:val="22"/>
        </w:rPr>
      </w:pPr>
      <w:r>
        <w:rPr/>
        <w:br w:type="column"/>
      </w:r>
      <w:r>
        <w:rPr>
          <w:rFonts w:ascii="Arial" w:hAnsi="Arial"/>
          <w:color w:val="385522"/>
          <w:sz w:val="22"/>
        </w:rPr>
        <w:t>Plano Municipal de Segurança de Barragens-PMSB</w:t>
      </w:r>
    </w:p>
    <w:p>
      <w:pPr>
        <w:spacing w:after="0"/>
        <w:jc w:val="left"/>
        <w:rPr>
          <w:rFonts w:ascii="Arial" w:hAnsi="Arial"/>
          <w:sz w:val="22"/>
        </w:rPr>
        <w:sectPr>
          <w:type w:val="continuous"/>
          <w:pgSz w:w="11910" w:h="16840"/>
          <w:pgMar w:top="0" w:bottom="280" w:left="0" w:right="0"/>
          <w:cols w:num="2" w:equalWidth="0">
            <w:col w:w="5155" w:space="77"/>
            <w:col w:w="6678"/>
          </w:cols>
        </w:sectPr>
      </w:pPr>
    </w:p>
    <w:p>
      <w:pPr>
        <w:pStyle w:val="BodyText"/>
        <w:rPr>
          <w:rFonts w:ascii="Arial"/>
          <w:sz w:val="20"/>
        </w:rPr>
      </w:pPr>
      <w:r>
        <w:rPr/>
        <w:drawing>
          <wp:anchor distT="0" distB="0" distL="0" distR="0" allowOverlap="1" layoutInCell="1" locked="0" behindDoc="0" simplePos="0" relativeHeight="3496">
            <wp:simplePos x="0" y="0"/>
            <wp:positionH relativeFrom="page">
              <wp:posOffset>288925</wp:posOffset>
            </wp:positionH>
            <wp:positionV relativeFrom="page">
              <wp:posOffset>634</wp:posOffset>
            </wp:positionV>
            <wp:extent cx="474344" cy="10691748"/>
            <wp:effectExtent l="0" t="0" r="0" b="0"/>
            <wp:wrapNone/>
            <wp:docPr id="109" name="image9.png" descr=""/>
            <wp:cNvGraphicFramePr>
              <a:graphicFrameLocks noChangeAspect="1"/>
            </wp:cNvGraphicFramePr>
            <a:graphic>
              <a:graphicData uri="http://schemas.openxmlformats.org/drawingml/2006/picture">
                <pic:pic>
                  <pic:nvPicPr>
                    <pic:cNvPr id="110" name="image9.png"/>
                    <pic:cNvPicPr/>
                  </pic:nvPicPr>
                  <pic:blipFill>
                    <a:blip r:embed="rId13" cstate="print"/>
                    <a:stretch>
                      <a:fillRect/>
                    </a:stretch>
                  </pic:blipFill>
                  <pic:spPr>
                    <a:xfrm>
                      <a:off x="0" y="0"/>
                      <a:ext cx="474344" cy="10691748"/>
                    </a:xfrm>
                    <a:prstGeom prst="rect">
                      <a:avLst/>
                    </a:prstGeom>
                  </pic:spPr>
                </pic:pic>
              </a:graphicData>
            </a:graphic>
          </wp:anchor>
        </w:drawing>
      </w:r>
    </w:p>
    <w:p>
      <w:pPr>
        <w:pStyle w:val="BodyText"/>
        <w:rPr>
          <w:rFonts w:ascii="Arial"/>
          <w:sz w:val="20"/>
        </w:rPr>
      </w:pPr>
    </w:p>
    <w:p>
      <w:pPr>
        <w:pStyle w:val="BodyText"/>
        <w:spacing w:before="8"/>
        <w:rPr>
          <w:rFonts w:ascii="Arial"/>
          <w:sz w:val="22"/>
        </w:rPr>
      </w:pPr>
    </w:p>
    <w:p>
      <w:pPr>
        <w:pStyle w:val="BodyText"/>
        <w:spacing w:before="1"/>
        <w:ind w:left="1702"/>
      </w:pPr>
      <w:r>
        <w:rPr/>
        <w:t>A figura a seguir apresenta e bem ilustra estes cenários de ruptura:</w:t>
      </w:r>
    </w:p>
    <w:p>
      <w:pPr>
        <w:pStyle w:val="BodyText"/>
        <w:spacing w:before="10"/>
        <w:rPr>
          <w:sz w:val="22"/>
        </w:rPr>
      </w:pPr>
      <w:r>
        <w:rPr/>
        <w:drawing>
          <wp:anchor distT="0" distB="0" distL="0" distR="0" allowOverlap="1" layoutInCell="1" locked="0" behindDoc="0" simplePos="0" relativeHeight="1376">
            <wp:simplePos x="0" y="0"/>
            <wp:positionH relativeFrom="page">
              <wp:posOffset>1284605</wp:posOffset>
            </wp:positionH>
            <wp:positionV relativeFrom="paragraph">
              <wp:posOffset>192214</wp:posOffset>
            </wp:positionV>
            <wp:extent cx="5030818" cy="3571113"/>
            <wp:effectExtent l="0" t="0" r="0" b="0"/>
            <wp:wrapTopAndBottom/>
            <wp:docPr id="111" name="image42.png" descr=""/>
            <wp:cNvGraphicFramePr>
              <a:graphicFrameLocks noChangeAspect="1"/>
            </wp:cNvGraphicFramePr>
            <a:graphic>
              <a:graphicData uri="http://schemas.openxmlformats.org/drawingml/2006/picture">
                <pic:pic>
                  <pic:nvPicPr>
                    <pic:cNvPr id="112" name="image42.png"/>
                    <pic:cNvPicPr/>
                  </pic:nvPicPr>
                  <pic:blipFill>
                    <a:blip r:embed="rId50" cstate="print"/>
                    <a:stretch>
                      <a:fillRect/>
                    </a:stretch>
                  </pic:blipFill>
                  <pic:spPr>
                    <a:xfrm>
                      <a:off x="0" y="0"/>
                      <a:ext cx="5030818" cy="3571113"/>
                    </a:xfrm>
                    <a:prstGeom prst="rect">
                      <a:avLst/>
                    </a:prstGeom>
                  </pic:spPr>
                </pic:pic>
              </a:graphicData>
            </a:graphic>
          </wp:anchor>
        </w:drawing>
      </w:r>
    </w:p>
    <w:p>
      <w:pPr>
        <w:pStyle w:val="BodyText"/>
        <w:spacing w:line="360" w:lineRule="auto" w:before="220"/>
        <w:ind w:left="1702" w:right="1698"/>
        <w:jc w:val="both"/>
      </w:pPr>
      <w:r>
        <w:rPr>
          <w:color w:val="111111"/>
        </w:rPr>
        <w:t>Acerca da figura anterior e dentre os parâmetros de representação do processo de formação da brecha de ruptura da barragem, o Corpo de Engenheiros do Exército dos Estados Unidos - em inglês U.S. Army Corps of Engineers (USACE) - coloca que os coeficientes hidráulicos de descarga associados ao corpo da barragem e ao orifício formado pelo processo de piping caracterizam incertezas para o rompimento hipotético de uma barragem.</w:t>
      </w:r>
    </w:p>
    <w:p>
      <w:pPr>
        <w:pStyle w:val="BodyText"/>
        <w:spacing w:before="10"/>
        <w:rPr>
          <w:sz w:val="20"/>
        </w:rPr>
      </w:pPr>
    </w:p>
    <w:p>
      <w:pPr>
        <w:pStyle w:val="BodyText"/>
        <w:spacing w:line="360" w:lineRule="auto"/>
        <w:ind w:left="1702" w:right="1700"/>
        <w:jc w:val="both"/>
      </w:pPr>
      <w:r>
        <w:rPr>
          <w:color w:val="111111"/>
        </w:rPr>
        <w:t>USACE (2014) discorre sobre dois processos de formação de brecha, fundamentados no modo de ruptura por galgamento e no modo de ruptura por formação de piping, respectivamente. No caso de um galgamento de uma barragem de terra, o processo de erosão do talude iniciará na face de jusante do corpo da barragem. A passagem da água fará com que o talude entre em processo erosivo.</w:t>
      </w:r>
    </w:p>
    <w:p>
      <w:pPr>
        <w:pStyle w:val="BodyText"/>
        <w:spacing w:before="10"/>
        <w:rPr>
          <w:sz w:val="20"/>
        </w:rPr>
      </w:pPr>
    </w:p>
    <w:p>
      <w:pPr>
        <w:pStyle w:val="BodyText"/>
        <w:spacing w:line="360" w:lineRule="auto"/>
        <w:ind w:left="1702" w:right="1698"/>
        <w:jc w:val="both"/>
      </w:pPr>
      <w:r>
        <w:rPr/>
        <w:t>Com premissa de garantir sempre a máxima segurança das pessoas que estão submetidas ao risco, devemos trabalhar sempre com a possibilidade de uma ruptura em seu pior cenário, nunca considerando a afirmação de que “</w:t>
      </w:r>
      <w:r>
        <w:rPr>
          <w:i/>
        </w:rPr>
        <w:t>uma barragem extremamente </w:t>
      </w:r>
      <w:r>
        <w:rPr>
          <w:i/>
        </w:rPr>
        <w:t>segura, uma ruptura é impossível</w:t>
      </w:r>
      <w:r>
        <w:rPr/>
        <w:t>” – isto não é verdade, isto é</w:t>
      </w:r>
      <w:r>
        <w:rPr>
          <w:spacing w:val="-4"/>
        </w:rPr>
        <w:t> </w:t>
      </w:r>
      <w:r>
        <w:rPr/>
        <w:t>mito.</w:t>
      </w:r>
    </w:p>
    <w:p>
      <w:pPr>
        <w:pStyle w:val="BodyText"/>
        <w:spacing w:before="1"/>
        <w:rPr>
          <w:sz w:val="25"/>
        </w:rPr>
      </w:pPr>
      <w:r>
        <w:rPr/>
        <w:pict>
          <v:shape style="position:absolute;margin-left:475.660004pt;margin-top:15.66432pt;width:40.450pt;height:55.95pt;mso-position-horizontal-relative:page;mso-position-vertical-relative:paragraph;z-index:1400;mso-wrap-distance-left:0;mso-wrap-distance-right:0" type="#_x0000_t202" filled="true" fillcolor="#6fac46" stroked="false">
            <v:textbox inset="0,0,0,0">
              <w:txbxContent>
                <w:p>
                  <w:pPr>
                    <w:pStyle w:val="BodyText"/>
                    <w:spacing w:before="10"/>
                    <w:rPr>
                      <w:sz w:val="29"/>
                    </w:rPr>
                  </w:pPr>
                </w:p>
                <w:p>
                  <w:pPr>
                    <w:spacing w:before="0"/>
                    <w:ind w:left="220" w:right="0" w:firstLine="0"/>
                    <w:jc w:val="left"/>
                    <w:rPr>
                      <w:rFonts w:ascii="Arial"/>
                      <w:sz w:val="36"/>
                    </w:rPr>
                  </w:pPr>
                  <w:r>
                    <w:rPr>
                      <w:rFonts w:ascii="Arial"/>
                      <w:color w:val="FFFFFF"/>
                      <w:sz w:val="36"/>
                    </w:rPr>
                    <w:t>25</w:t>
                  </w:r>
                </w:p>
              </w:txbxContent>
            </v:textbox>
            <v:fill type="solid"/>
            <w10:wrap type="topAndBottom"/>
          </v:shape>
        </w:pict>
      </w:r>
    </w:p>
    <w:p>
      <w:pPr>
        <w:spacing w:after="0"/>
        <w:rPr>
          <w:sz w:val="25"/>
        </w:rPr>
        <w:sectPr>
          <w:type w:val="continuous"/>
          <w:pgSz w:w="11910" w:h="16840"/>
          <w:pgMar w:top="0" w:bottom="280" w:left="0" w:right="0"/>
        </w:sectPr>
      </w:pPr>
    </w:p>
    <w:p>
      <w:pPr>
        <w:pStyle w:val="BodyText"/>
        <w:rPr>
          <w:sz w:val="20"/>
        </w:rPr>
      </w:pPr>
    </w:p>
    <w:p>
      <w:pPr>
        <w:pStyle w:val="BodyText"/>
        <w:rPr>
          <w:sz w:val="20"/>
        </w:rPr>
      </w:pPr>
    </w:p>
    <w:p>
      <w:pPr>
        <w:pStyle w:val="BodyText"/>
        <w:spacing w:before="1"/>
        <w:rPr>
          <w:sz w:val="18"/>
        </w:rPr>
      </w:pPr>
    </w:p>
    <w:p>
      <w:pPr>
        <w:spacing w:after="0"/>
        <w:rPr>
          <w:sz w:val="18"/>
        </w:rPr>
        <w:sectPr>
          <w:pgSz w:w="11910" w:h="16840"/>
          <w:pgMar w:top="0" w:bottom="0" w:left="0" w:right="0"/>
        </w:sectPr>
      </w:pPr>
    </w:p>
    <w:p>
      <w:pPr>
        <w:pStyle w:val="Heading1"/>
        <w:spacing w:line="172" w:lineRule="auto"/>
      </w:pPr>
      <w:r>
        <w:rPr/>
        <w:drawing>
          <wp:anchor distT="0" distB="0" distL="0" distR="0" allowOverlap="1" layoutInCell="1" locked="0" behindDoc="0" simplePos="0" relativeHeight="3544">
            <wp:simplePos x="0" y="0"/>
            <wp:positionH relativeFrom="page">
              <wp:posOffset>979932</wp:posOffset>
            </wp:positionH>
            <wp:positionV relativeFrom="paragraph">
              <wp:posOffset>-9589</wp:posOffset>
            </wp:positionV>
            <wp:extent cx="1478280" cy="612648"/>
            <wp:effectExtent l="0" t="0" r="0" b="0"/>
            <wp:wrapNone/>
            <wp:docPr id="113" name="image8.png" descr=""/>
            <wp:cNvGraphicFramePr>
              <a:graphicFrameLocks noChangeAspect="1"/>
            </wp:cNvGraphicFramePr>
            <a:graphic>
              <a:graphicData uri="http://schemas.openxmlformats.org/drawingml/2006/picture">
                <pic:pic>
                  <pic:nvPicPr>
                    <pic:cNvPr id="114" name="image8.png"/>
                    <pic:cNvPicPr/>
                  </pic:nvPicPr>
                  <pic:blipFill>
                    <a:blip r:embed="rId12" cstate="print"/>
                    <a:stretch>
                      <a:fillRect/>
                    </a:stretch>
                  </pic:blipFill>
                  <pic:spPr>
                    <a:xfrm>
                      <a:off x="0" y="0"/>
                      <a:ext cx="1478280" cy="612648"/>
                    </a:xfrm>
                    <a:prstGeom prst="rect">
                      <a:avLst/>
                    </a:prstGeom>
                  </pic:spPr>
                </pic:pic>
              </a:graphicData>
            </a:graphic>
          </wp:anchor>
        </w:drawing>
      </w:r>
      <w:r>
        <w:rPr>
          <w:color w:val="385522"/>
        </w:rPr>
        <w:t>meio </w:t>
      </w:r>
      <w:r>
        <w:rPr>
          <w:color w:val="385522"/>
          <w:w w:val="95"/>
        </w:rPr>
        <w:t>ambiente</w:t>
      </w:r>
    </w:p>
    <w:p>
      <w:pPr>
        <w:spacing w:before="60"/>
        <w:ind w:left="455" w:right="0" w:firstLine="0"/>
        <w:jc w:val="left"/>
        <w:rPr>
          <w:rFonts w:ascii="Arial" w:hAnsi="Arial"/>
          <w:sz w:val="22"/>
        </w:rPr>
      </w:pPr>
      <w:r>
        <w:rPr/>
        <w:br w:type="column"/>
      </w:r>
      <w:r>
        <w:rPr>
          <w:rFonts w:ascii="Arial" w:hAnsi="Arial"/>
          <w:color w:val="385522"/>
          <w:sz w:val="22"/>
        </w:rPr>
        <w:t>Plano Municipal de Segurança de Barragens-PMSB</w:t>
      </w:r>
    </w:p>
    <w:p>
      <w:pPr>
        <w:spacing w:after="0"/>
        <w:jc w:val="left"/>
        <w:rPr>
          <w:rFonts w:ascii="Arial" w:hAnsi="Arial"/>
          <w:sz w:val="22"/>
        </w:rPr>
        <w:sectPr>
          <w:type w:val="continuous"/>
          <w:pgSz w:w="11910" w:h="16840"/>
          <w:pgMar w:top="0" w:bottom="280" w:left="0" w:right="0"/>
          <w:cols w:num="2" w:equalWidth="0">
            <w:col w:w="5155" w:space="77"/>
            <w:col w:w="6678"/>
          </w:cols>
        </w:sectPr>
      </w:pPr>
    </w:p>
    <w:p>
      <w:pPr>
        <w:pStyle w:val="BodyText"/>
        <w:rPr>
          <w:rFonts w:ascii="Arial"/>
          <w:sz w:val="20"/>
        </w:rPr>
      </w:pPr>
      <w:r>
        <w:rPr/>
        <w:drawing>
          <wp:anchor distT="0" distB="0" distL="0" distR="0" allowOverlap="1" layoutInCell="1" locked="0" behindDoc="0" simplePos="0" relativeHeight="3568">
            <wp:simplePos x="0" y="0"/>
            <wp:positionH relativeFrom="page">
              <wp:posOffset>288925</wp:posOffset>
            </wp:positionH>
            <wp:positionV relativeFrom="page">
              <wp:posOffset>634</wp:posOffset>
            </wp:positionV>
            <wp:extent cx="474344" cy="10691748"/>
            <wp:effectExtent l="0" t="0" r="0" b="0"/>
            <wp:wrapNone/>
            <wp:docPr id="115" name="image9.png" descr=""/>
            <wp:cNvGraphicFramePr>
              <a:graphicFrameLocks noChangeAspect="1"/>
            </wp:cNvGraphicFramePr>
            <a:graphic>
              <a:graphicData uri="http://schemas.openxmlformats.org/drawingml/2006/picture">
                <pic:pic>
                  <pic:nvPicPr>
                    <pic:cNvPr id="116" name="image9.png"/>
                    <pic:cNvPicPr/>
                  </pic:nvPicPr>
                  <pic:blipFill>
                    <a:blip r:embed="rId13" cstate="print"/>
                    <a:stretch>
                      <a:fillRect/>
                    </a:stretch>
                  </pic:blipFill>
                  <pic:spPr>
                    <a:xfrm>
                      <a:off x="0" y="0"/>
                      <a:ext cx="474344" cy="10691748"/>
                    </a:xfrm>
                    <a:prstGeom prst="rect">
                      <a:avLst/>
                    </a:prstGeom>
                  </pic:spPr>
                </pic:pic>
              </a:graphicData>
            </a:graphic>
          </wp:anchor>
        </w:drawing>
      </w:r>
    </w:p>
    <w:p>
      <w:pPr>
        <w:pStyle w:val="BodyText"/>
        <w:rPr>
          <w:rFonts w:ascii="Arial"/>
          <w:sz w:val="20"/>
        </w:rPr>
      </w:pPr>
    </w:p>
    <w:p>
      <w:pPr>
        <w:pStyle w:val="BodyText"/>
        <w:spacing w:before="2"/>
        <w:rPr>
          <w:rFonts w:ascii="Arial"/>
          <w:sz w:val="23"/>
        </w:rPr>
      </w:pPr>
    </w:p>
    <w:p>
      <w:pPr>
        <w:pStyle w:val="Heading3"/>
        <w:numPr>
          <w:ilvl w:val="0"/>
          <w:numId w:val="2"/>
        </w:numPr>
        <w:tabs>
          <w:tab w:pos="2346" w:val="left" w:leader="none"/>
        </w:tabs>
        <w:spacing w:line="240" w:lineRule="auto" w:before="0" w:after="0"/>
        <w:ind w:left="2345" w:right="0" w:hanging="360"/>
        <w:jc w:val="left"/>
      </w:pPr>
      <w:bookmarkStart w:name="_bookmark8" w:id="17"/>
      <w:bookmarkEnd w:id="17"/>
      <w:r>
        <w:rPr>
          <w:b w:val="0"/>
        </w:rPr>
      </w:r>
      <w:bookmarkStart w:name="_bookmark8" w:id="18"/>
      <w:bookmarkEnd w:id="18"/>
      <w:r>
        <w:rPr/>
        <w:t>HI</w:t>
      </w:r>
      <w:r>
        <w:rPr/>
        <w:t>STÓRICO DE</w:t>
      </w:r>
      <w:r>
        <w:rPr>
          <w:spacing w:val="-1"/>
        </w:rPr>
        <w:t> </w:t>
      </w:r>
      <w:r>
        <w:rPr/>
        <w:t>RUPTURAS.</w:t>
      </w:r>
    </w:p>
    <w:p>
      <w:pPr>
        <w:pStyle w:val="BodyText"/>
        <w:rPr>
          <w:b/>
          <w:sz w:val="26"/>
        </w:rPr>
      </w:pPr>
    </w:p>
    <w:p>
      <w:pPr>
        <w:pStyle w:val="BodyText"/>
        <w:spacing w:line="360" w:lineRule="auto" w:before="193"/>
        <w:ind w:left="1702" w:right="1695"/>
        <w:jc w:val="both"/>
      </w:pPr>
      <w:r>
        <w:rPr>
          <w:color w:val="111111"/>
        </w:rPr>
        <w:t>Quando abordamos casos concretos de rompimento de barragens, há que se destacar como grande entrave para melhor análise, a falta de transparência e a desídia quanto aos processos investigativos, que prejudicam por sua vez a identificação das causas com maior precisão, e por consequência, se tornam um entrave ao desenvolvimento de melhores técnicas construtivas e de métodos mais seguros de fiscalização, controle e monitoramento.</w:t>
      </w:r>
    </w:p>
    <w:p>
      <w:pPr>
        <w:pStyle w:val="BodyText"/>
        <w:spacing w:line="360" w:lineRule="auto" w:before="161"/>
        <w:ind w:left="1702" w:right="1696"/>
        <w:jc w:val="both"/>
      </w:pPr>
      <w:r>
        <w:rPr>
          <w:color w:val="111111"/>
        </w:rPr>
        <w:t>No que diz respeito ao registro que se tem de casos históricos em Estado de Minas Gerais, podemos começar em 1986 da barragem de rejeitos da Mina de Fernandinho (Itabirito) que resultou na morte de sete pessoas. Ainda na cronologia de rupturas no Brasil, destaca-se a Barragem da Mineração Rio Verde (Macacos/ Nova Lima) em 2001, impactando uma área de 43 hectares, com a morte de cinco operários e assoreamento de 6,4 km do leito do rio Taquaras. Em 20 de março de 2003, a barragem de um dos reservatórios da Indústria Cataguases de Papel se rompeu, liberando cerca de 1,4 bilhões de litros de lixívia no córrego Rio Pomba, fazendo com que a FEAM implantasse o sistema de fiscalização de barragens no Estado de Minas Gerais. Em Miraí, na Zona da Mata, uma barragem da mineradora Rio Pomba Cataguases se rompeu em 2007, resultando em 4.000 moradores desalojados. Para o ano de 2014, tem- se registros do desabamento de um túnel na Mina do Pico, em Itabirito e, nesse mesmo ano, a barragem da Herculano Mineração que se rompeu em setembro, provocando a morte de 3 pessoas. Por fim o rompimento da Barragem da Samarco em 2015, na cidade de Mariana, despejando 62 milhões de m3 de rejeitos vale afora e provocando a destruição total do Distrito de Bento Rodrigues, deixando 19 mortos e um rastro de destruição por mais de 600 km ao longo do Rio Doce, provocando danos ambientais incalculáveis até o Oceano</w:t>
      </w:r>
      <w:r>
        <w:rPr>
          <w:color w:val="111111"/>
          <w:spacing w:val="-2"/>
        </w:rPr>
        <w:t> </w:t>
      </w:r>
      <w:r>
        <w:rPr>
          <w:color w:val="111111"/>
        </w:rPr>
        <w:t>Atlântico.</w:t>
      </w:r>
    </w:p>
    <w:p>
      <w:pPr>
        <w:pStyle w:val="BodyText"/>
        <w:spacing w:line="360" w:lineRule="auto" w:before="161"/>
        <w:ind w:left="1702" w:right="1696"/>
        <w:jc w:val="both"/>
      </w:pPr>
      <w:r>
        <w:rPr>
          <w:color w:val="111111"/>
        </w:rPr>
        <w:t>A última catástrofe registrada aconteceu na cidade de Brumadinho próximo a capital do Estado de Minas Gerias. A Barragem B1, que acumulava rejeitos de mineração da Mina Córrego do Feijão, da empresa Vale S/A, se rompeu no dia 25 de janeiro/2019, e se firmou como uma das maiores catástrofes causadas por rompimento de barragem de</w:t>
      </w:r>
    </w:p>
    <w:p>
      <w:pPr>
        <w:pStyle w:val="BodyText"/>
        <w:rPr>
          <w:sz w:val="20"/>
        </w:rPr>
      </w:pPr>
    </w:p>
    <w:p>
      <w:pPr>
        <w:pStyle w:val="BodyText"/>
        <w:rPr>
          <w:sz w:val="20"/>
        </w:rPr>
      </w:pPr>
    </w:p>
    <w:p>
      <w:pPr>
        <w:pStyle w:val="BodyText"/>
        <w:spacing w:before="8"/>
      </w:pPr>
      <w:r>
        <w:rPr/>
        <w:pict>
          <v:shape style="position:absolute;margin-left:475.660004pt;margin-top:15.43849pt;width:40.450pt;height:55.95pt;mso-position-horizontal-relative:page;mso-position-vertical-relative:paragraph;z-index:1472;mso-wrap-distance-left:0;mso-wrap-distance-right:0" type="#_x0000_t202" filled="true" fillcolor="#6fac46" stroked="false">
            <v:textbox inset="0,0,0,0">
              <w:txbxContent>
                <w:p>
                  <w:pPr>
                    <w:pStyle w:val="BodyText"/>
                    <w:spacing w:before="10"/>
                    <w:rPr>
                      <w:sz w:val="29"/>
                    </w:rPr>
                  </w:pPr>
                </w:p>
                <w:p>
                  <w:pPr>
                    <w:spacing w:before="0"/>
                    <w:ind w:left="220" w:right="0" w:firstLine="0"/>
                    <w:jc w:val="left"/>
                    <w:rPr>
                      <w:rFonts w:ascii="Arial"/>
                      <w:sz w:val="36"/>
                    </w:rPr>
                  </w:pPr>
                  <w:r>
                    <w:rPr>
                      <w:rFonts w:ascii="Arial"/>
                      <w:color w:val="FFFFFF"/>
                      <w:sz w:val="36"/>
                    </w:rPr>
                    <w:t>26</w:t>
                  </w:r>
                </w:p>
              </w:txbxContent>
            </v:textbox>
            <v:fill type="solid"/>
            <w10:wrap type="topAndBottom"/>
          </v:shape>
        </w:pict>
      </w:r>
    </w:p>
    <w:p>
      <w:pPr>
        <w:spacing w:after="0"/>
        <w:sectPr>
          <w:type w:val="continuous"/>
          <w:pgSz w:w="11910" w:h="16840"/>
          <w:pgMar w:top="0" w:bottom="280" w:left="0" w:right="0"/>
        </w:sectPr>
      </w:pPr>
    </w:p>
    <w:p>
      <w:pPr>
        <w:pStyle w:val="BodyText"/>
        <w:rPr>
          <w:sz w:val="20"/>
        </w:rPr>
      </w:pPr>
    </w:p>
    <w:p>
      <w:pPr>
        <w:pStyle w:val="BodyText"/>
        <w:rPr>
          <w:sz w:val="20"/>
        </w:rPr>
      </w:pPr>
    </w:p>
    <w:p>
      <w:pPr>
        <w:pStyle w:val="BodyText"/>
        <w:spacing w:before="1"/>
        <w:rPr>
          <w:sz w:val="18"/>
        </w:rPr>
      </w:pPr>
    </w:p>
    <w:p>
      <w:pPr>
        <w:spacing w:after="0"/>
        <w:rPr>
          <w:sz w:val="18"/>
        </w:rPr>
        <w:sectPr>
          <w:pgSz w:w="11910" w:h="16840"/>
          <w:pgMar w:top="0" w:bottom="0" w:left="0" w:right="0"/>
        </w:sectPr>
      </w:pPr>
    </w:p>
    <w:p>
      <w:pPr>
        <w:pStyle w:val="Heading1"/>
        <w:spacing w:line="172" w:lineRule="auto"/>
      </w:pPr>
      <w:r>
        <w:rPr/>
        <w:drawing>
          <wp:anchor distT="0" distB="0" distL="0" distR="0" allowOverlap="1" layoutInCell="1" locked="0" behindDoc="0" simplePos="0" relativeHeight="3616">
            <wp:simplePos x="0" y="0"/>
            <wp:positionH relativeFrom="page">
              <wp:posOffset>979932</wp:posOffset>
            </wp:positionH>
            <wp:positionV relativeFrom="paragraph">
              <wp:posOffset>-9589</wp:posOffset>
            </wp:positionV>
            <wp:extent cx="1478280" cy="612648"/>
            <wp:effectExtent l="0" t="0" r="0" b="0"/>
            <wp:wrapNone/>
            <wp:docPr id="117" name="image8.png" descr=""/>
            <wp:cNvGraphicFramePr>
              <a:graphicFrameLocks noChangeAspect="1"/>
            </wp:cNvGraphicFramePr>
            <a:graphic>
              <a:graphicData uri="http://schemas.openxmlformats.org/drawingml/2006/picture">
                <pic:pic>
                  <pic:nvPicPr>
                    <pic:cNvPr id="118" name="image8.png"/>
                    <pic:cNvPicPr/>
                  </pic:nvPicPr>
                  <pic:blipFill>
                    <a:blip r:embed="rId12" cstate="print"/>
                    <a:stretch>
                      <a:fillRect/>
                    </a:stretch>
                  </pic:blipFill>
                  <pic:spPr>
                    <a:xfrm>
                      <a:off x="0" y="0"/>
                      <a:ext cx="1478280" cy="612648"/>
                    </a:xfrm>
                    <a:prstGeom prst="rect">
                      <a:avLst/>
                    </a:prstGeom>
                  </pic:spPr>
                </pic:pic>
              </a:graphicData>
            </a:graphic>
          </wp:anchor>
        </w:drawing>
      </w:r>
      <w:r>
        <w:rPr>
          <w:color w:val="385522"/>
        </w:rPr>
        <w:t>meio </w:t>
      </w:r>
      <w:r>
        <w:rPr>
          <w:color w:val="385522"/>
          <w:w w:val="95"/>
        </w:rPr>
        <w:t>ambiente</w:t>
      </w:r>
    </w:p>
    <w:p>
      <w:pPr>
        <w:spacing w:before="60"/>
        <w:ind w:left="455" w:right="0" w:firstLine="0"/>
        <w:jc w:val="left"/>
        <w:rPr>
          <w:rFonts w:ascii="Arial" w:hAnsi="Arial"/>
          <w:sz w:val="22"/>
        </w:rPr>
      </w:pPr>
      <w:r>
        <w:rPr/>
        <w:br w:type="column"/>
      </w:r>
      <w:r>
        <w:rPr>
          <w:rFonts w:ascii="Arial" w:hAnsi="Arial"/>
          <w:color w:val="385522"/>
          <w:sz w:val="22"/>
        </w:rPr>
        <w:t>Plano Municipal de Segurança de Barragens-PMSB</w:t>
      </w:r>
    </w:p>
    <w:p>
      <w:pPr>
        <w:spacing w:after="0"/>
        <w:jc w:val="left"/>
        <w:rPr>
          <w:rFonts w:ascii="Arial" w:hAnsi="Arial"/>
          <w:sz w:val="22"/>
        </w:rPr>
        <w:sectPr>
          <w:type w:val="continuous"/>
          <w:pgSz w:w="11910" w:h="16840"/>
          <w:pgMar w:top="0" w:bottom="280" w:left="0" w:right="0"/>
          <w:cols w:num="2" w:equalWidth="0">
            <w:col w:w="5155" w:space="77"/>
            <w:col w:w="6678"/>
          </w:cols>
        </w:sectPr>
      </w:pPr>
    </w:p>
    <w:p>
      <w:pPr>
        <w:pStyle w:val="BodyText"/>
        <w:rPr>
          <w:rFonts w:ascii="Arial"/>
          <w:sz w:val="20"/>
        </w:rPr>
      </w:pPr>
      <w:r>
        <w:rPr/>
        <w:drawing>
          <wp:anchor distT="0" distB="0" distL="0" distR="0" allowOverlap="1" layoutInCell="1" locked="0" behindDoc="0" simplePos="0" relativeHeight="3640">
            <wp:simplePos x="0" y="0"/>
            <wp:positionH relativeFrom="page">
              <wp:posOffset>288925</wp:posOffset>
            </wp:positionH>
            <wp:positionV relativeFrom="page">
              <wp:posOffset>634</wp:posOffset>
            </wp:positionV>
            <wp:extent cx="474344" cy="10691748"/>
            <wp:effectExtent l="0" t="0" r="0" b="0"/>
            <wp:wrapNone/>
            <wp:docPr id="119" name="image9.png" descr=""/>
            <wp:cNvGraphicFramePr>
              <a:graphicFrameLocks noChangeAspect="1"/>
            </wp:cNvGraphicFramePr>
            <a:graphic>
              <a:graphicData uri="http://schemas.openxmlformats.org/drawingml/2006/picture">
                <pic:pic>
                  <pic:nvPicPr>
                    <pic:cNvPr id="120" name="image9.png"/>
                    <pic:cNvPicPr/>
                  </pic:nvPicPr>
                  <pic:blipFill>
                    <a:blip r:embed="rId13" cstate="print"/>
                    <a:stretch>
                      <a:fillRect/>
                    </a:stretch>
                  </pic:blipFill>
                  <pic:spPr>
                    <a:xfrm>
                      <a:off x="0" y="0"/>
                      <a:ext cx="474344" cy="10691748"/>
                    </a:xfrm>
                    <a:prstGeom prst="rect">
                      <a:avLst/>
                    </a:prstGeom>
                  </pic:spPr>
                </pic:pic>
              </a:graphicData>
            </a:graphic>
          </wp:anchor>
        </w:drawing>
      </w:r>
    </w:p>
    <w:p>
      <w:pPr>
        <w:pStyle w:val="BodyText"/>
        <w:rPr>
          <w:rFonts w:ascii="Arial"/>
          <w:sz w:val="20"/>
        </w:rPr>
      </w:pPr>
    </w:p>
    <w:p>
      <w:pPr>
        <w:pStyle w:val="BodyText"/>
        <w:spacing w:before="8"/>
        <w:rPr>
          <w:rFonts w:ascii="Arial"/>
          <w:sz w:val="22"/>
        </w:rPr>
      </w:pPr>
    </w:p>
    <w:p>
      <w:pPr>
        <w:pStyle w:val="BodyText"/>
        <w:spacing w:line="360" w:lineRule="auto" w:before="1"/>
        <w:ind w:left="1702" w:right="1695"/>
        <w:jc w:val="both"/>
      </w:pPr>
      <w:r>
        <w:rPr>
          <w:color w:val="111111"/>
        </w:rPr>
        <w:t>mineração no mundo, deixando um rastro de destruição com 308 mortos, 192 pessoas resgatadas e 395 localizadas após o rompimento.</w:t>
      </w:r>
    </w:p>
    <w:p>
      <w:pPr>
        <w:spacing w:line="360" w:lineRule="auto" w:before="158"/>
        <w:ind w:left="1702" w:right="1696" w:firstLine="0"/>
        <w:jc w:val="both"/>
        <w:rPr>
          <w:sz w:val="24"/>
        </w:rPr>
      </w:pPr>
      <w:r>
        <w:rPr>
          <w:color w:val="111111"/>
          <w:sz w:val="24"/>
        </w:rPr>
        <w:t>Um levantamento efetuado em 2014 pelo ICOLD - International Committee on Large Dams, sobre rupturas de barragens ocorridas entre os anos de 1915 a 2014, apresentado no Bulletin 121 - “</w:t>
      </w:r>
      <w:r>
        <w:rPr>
          <w:i/>
          <w:color w:val="111111"/>
          <w:sz w:val="24"/>
        </w:rPr>
        <w:t>Tailings Dams Risks of Dangerous Occurrences Lessons Learned </w:t>
      </w:r>
      <w:r>
        <w:rPr>
          <w:i/>
          <w:color w:val="111111"/>
          <w:sz w:val="24"/>
        </w:rPr>
        <w:t>From Practical Experiences</w:t>
      </w:r>
      <w:r>
        <w:rPr>
          <w:color w:val="111111"/>
          <w:sz w:val="24"/>
        </w:rPr>
        <w:t>”, considera as rupturas de barragens em 05 (cinco) categorias, sendo:</w:t>
      </w:r>
    </w:p>
    <w:p>
      <w:pPr>
        <w:pStyle w:val="BodyText"/>
        <w:rPr>
          <w:sz w:val="26"/>
        </w:rPr>
      </w:pPr>
    </w:p>
    <w:p>
      <w:pPr>
        <w:pStyle w:val="BodyText"/>
        <w:spacing w:before="9"/>
        <w:rPr>
          <w:sz w:val="37"/>
        </w:rPr>
      </w:pPr>
    </w:p>
    <w:p>
      <w:pPr>
        <w:pStyle w:val="BodyText"/>
        <w:spacing w:line="278" w:lineRule="auto" w:before="1"/>
        <w:ind w:left="2770" w:right="1699"/>
        <w:jc w:val="both"/>
      </w:pPr>
      <w:r>
        <w:rPr>
          <w:color w:val="111111"/>
        </w:rPr>
        <w:t>1ª) Rupturas muito graves de barragens de rejeitos, com perdas de vida de aproximadamente 20 pessoas e/ou derramamento igual ou superior a</w:t>
      </w:r>
    </w:p>
    <w:p>
      <w:pPr>
        <w:pStyle w:val="BodyText"/>
        <w:spacing w:line="272" w:lineRule="exact"/>
        <w:ind w:left="2770"/>
      </w:pPr>
      <w:r>
        <w:rPr>
          <w:color w:val="111111"/>
        </w:rPr>
        <w:t>1.000.000 m3 de semi-sólidos e/ou danos em 20 km ou mais.</w:t>
      </w:r>
    </w:p>
    <w:p>
      <w:pPr>
        <w:pStyle w:val="BodyText"/>
        <w:rPr>
          <w:sz w:val="26"/>
        </w:rPr>
      </w:pPr>
    </w:p>
    <w:p>
      <w:pPr>
        <w:pStyle w:val="BodyText"/>
        <w:rPr>
          <w:sz w:val="26"/>
        </w:rPr>
      </w:pPr>
    </w:p>
    <w:p>
      <w:pPr>
        <w:pStyle w:val="BodyText"/>
        <w:spacing w:before="9"/>
        <w:rPr>
          <w:sz w:val="20"/>
        </w:rPr>
      </w:pPr>
    </w:p>
    <w:p>
      <w:pPr>
        <w:pStyle w:val="BodyText"/>
        <w:spacing w:line="276" w:lineRule="auto"/>
        <w:ind w:left="2770" w:right="1697"/>
        <w:jc w:val="both"/>
      </w:pPr>
      <w:r>
        <w:rPr>
          <w:color w:val="111111"/>
        </w:rPr>
        <w:t>2ª) Rupturas graves de barragens de rejeitos, com perdas de vida e/ou derramamento igual ou superior a 100.000m3 de semi-sólidos e/ou danos em 20 km ou mais.</w:t>
      </w:r>
    </w:p>
    <w:p>
      <w:pPr>
        <w:pStyle w:val="BodyText"/>
        <w:rPr>
          <w:sz w:val="26"/>
        </w:rPr>
      </w:pPr>
    </w:p>
    <w:p>
      <w:pPr>
        <w:pStyle w:val="BodyText"/>
        <w:rPr>
          <w:sz w:val="26"/>
        </w:rPr>
      </w:pPr>
    </w:p>
    <w:p>
      <w:pPr>
        <w:pStyle w:val="BodyText"/>
        <w:spacing w:line="276" w:lineRule="auto" w:before="200"/>
        <w:ind w:left="2770" w:right="1703"/>
        <w:jc w:val="both"/>
      </w:pPr>
      <w:r>
        <w:rPr>
          <w:color w:val="111111"/>
        </w:rPr>
        <w:t>3ª) Demais tipos de rupturas de barragens de rejeitos, com falhas de engenharia ou de processo, que podem ser classificadas como muito grave ou grave, sem perdas de vida.</w:t>
      </w:r>
    </w:p>
    <w:p>
      <w:pPr>
        <w:pStyle w:val="BodyText"/>
        <w:rPr>
          <w:sz w:val="26"/>
        </w:rPr>
      </w:pPr>
    </w:p>
    <w:p>
      <w:pPr>
        <w:pStyle w:val="BodyText"/>
        <w:rPr>
          <w:sz w:val="26"/>
        </w:rPr>
      </w:pPr>
    </w:p>
    <w:p>
      <w:pPr>
        <w:pStyle w:val="BodyText"/>
        <w:spacing w:line="278" w:lineRule="auto" w:before="200"/>
        <w:ind w:left="2770" w:right="1704"/>
        <w:jc w:val="both"/>
      </w:pPr>
      <w:r>
        <w:rPr>
          <w:color w:val="111111"/>
        </w:rPr>
        <w:t>4ª) Outros tipos de acidentes relacionados a barragens de rejeitos, exceto aqueles que podem ser classificados como 1, 2 ou 3.</w:t>
      </w:r>
    </w:p>
    <w:p>
      <w:pPr>
        <w:pStyle w:val="BodyText"/>
        <w:rPr>
          <w:sz w:val="26"/>
        </w:rPr>
      </w:pPr>
    </w:p>
    <w:p>
      <w:pPr>
        <w:pStyle w:val="BodyText"/>
        <w:rPr>
          <w:sz w:val="26"/>
        </w:rPr>
      </w:pPr>
    </w:p>
    <w:p>
      <w:pPr>
        <w:pStyle w:val="BodyText"/>
        <w:spacing w:line="276" w:lineRule="auto" w:before="194"/>
        <w:ind w:left="2770" w:right="1704"/>
        <w:jc w:val="both"/>
      </w:pPr>
      <w:r>
        <w:rPr>
          <w:color w:val="111111"/>
        </w:rPr>
        <w:t>5ª) Outros tipos de acidentes não relacionados a rejeitos ou de causas desconhecidas, tais como águas subterrâneas, fundação, etc.</w:t>
      </w:r>
    </w:p>
    <w:p>
      <w:pPr>
        <w:pStyle w:val="BodyText"/>
        <w:rPr>
          <w:sz w:val="26"/>
        </w:rPr>
      </w:pPr>
    </w:p>
    <w:p>
      <w:pPr>
        <w:pStyle w:val="BodyText"/>
        <w:rPr>
          <w:sz w:val="26"/>
        </w:rPr>
      </w:pPr>
    </w:p>
    <w:p>
      <w:pPr>
        <w:pStyle w:val="BodyText"/>
        <w:spacing w:line="360" w:lineRule="auto" w:before="201"/>
        <w:ind w:left="1702" w:right="1694"/>
        <w:jc w:val="both"/>
      </w:pPr>
      <w:r>
        <w:rPr>
          <w:color w:val="111111"/>
        </w:rPr>
        <w:t>Tabelando estas cinco categorias de rupturas (ICOLD) com os rompimentos de barragens entre os anos de 1915 à 2019, podemos visualizar o seguinte cenário:</w:t>
      </w:r>
    </w:p>
    <w:p>
      <w:pPr>
        <w:pStyle w:val="BodyText"/>
        <w:rPr>
          <w:sz w:val="20"/>
        </w:rPr>
      </w:pPr>
    </w:p>
    <w:p>
      <w:pPr>
        <w:pStyle w:val="BodyText"/>
        <w:rPr>
          <w:sz w:val="20"/>
        </w:rPr>
      </w:pPr>
    </w:p>
    <w:p>
      <w:pPr>
        <w:pStyle w:val="BodyText"/>
        <w:spacing w:before="7"/>
        <w:rPr>
          <w:sz w:val="20"/>
        </w:rPr>
      </w:pPr>
      <w:r>
        <w:rPr/>
        <w:pict>
          <v:shape style="position:absolute;margin-left:475.660004pt;margin-top:13.058003pt;width:40.450pt;height:55.95pt;mso-position-horizontal-relative:page;mso-position-vertical-relative:paragraph;z-index:1544;mso-wrap-distance-left:0;mso-wrap-distance-right:0" type="#_x0000_t202" filled="true" fillcolor="#6fac46" stroked="false">
            <v:textbox inset="0,0,0,0">
              <w:txbxContent>
                <w:p>
                  <w:pPr>
                    <w:pStyle w:val="BodyText"/>
                    <w:spacing w:before="10"/>
                    <w:rPr>
                      <w:sz w:val="29"/>
                    </w:rPr>
                  </w:pPr>
                </w:p>
                <w:p>
                  <w:pPr>
                    <w:spacing w:before="0"/>
                    <w:ind w:left="220" w:right="0" w:firstLine="0"/>
                    <w:jc w:val="left"/>
                    <w:rPr>
                      <w:rFonts w:ascii="Arial"/>
                      <w:sz w:val="36"/>
                    </w:rPr>
                  </w:pPr>
                  <w:r>
                    <w:rPr>
                      <w:rFonts w:ascii="Arial"/>
                      <w:color w:val="FFFFFF"/>
                      <w:sz w:val="36"/>
                    </w:rPr>
                    <w:t>27</w:t>
                  </w:r>
                </w:p>
              </w:txbxContent>
            </v:textbox>
            <v:fill type="solid"/>
            <w10:wrap type="topAndBottom"/>
          </v:shape>
        </w:pict>
      </w:r>
    </w:p>
    <w:p>
      <w:pPr>
        <w:spacing w:after="0"/>
        <w:rPr>
          <w:sz w:val="20"/>
        </w:rPr>
        <w:sectPr>
          <w:type w:val="continuous"/>
          <w:pgSz w:w="11910" w:h="16840"/>
          <w:pgMar w:top="0" w:bottom="280" w:left="0" w:right="0"/>
        </w:sectPr>
      </w:pPr>
    </w:p>
    <w:p>
      <w:pPr>
        <w:pStyle w:val="BodyText"/>
        <w:rPr>
          <w:sz w:val="20"/>
        </w:rPr>
      </w:pPr>
    </w:p>
    <w:p>
      <w:pPr>
        <w:pStyle w:val="BodyText"/>
        <w:rPr>
          <w:sz w:val="20"/>
        </w:rPr>
      </w:pPr>
    </w:p>
    <w:p>
      <w:pPr>
        <w:pStyle w:val="BodyText"/>
        <w:spacing w:before="1"/>
        <w:rPr>
          <w:sz w:val="18"/>
        </w:rPr>
      </w:pPr>
    </w:p>
    <w:p>
      <w:pPr>
        <w:spacing w:after="0"/>
        <w:rPr>
          <w:sz w:val="18"/>
        </w:rPr>
        <w:sectPr>
          <w:pgSz w:w="11910" w:h="16840"/>
          <w:pgMar w:top="0" w:bottom="0" w:left="0" w:right="0"/>
        </w:sectPr>
      </w:pPr>
    </w:p>
    <w:p>
      <w:pPr>
        <w:pStyle w:val="Heading1"/>
        <w:spacing w:line="172" w:lineRule="auto"/>
      </w:pPr>
      <w:r>
        <w:rPr/>
        <w:drawing>
          <wp:anchor distT="0" distB="0" distL="0" distR="0" allowOverlap="1" layoutInCell="1" locked="0" behindDoc="0" simplePos="0" relativeHeight="3688">
            <wp:simplePos x="0" y="0"/>
            <wp:positionH relativeFrom="page">
              <wp:posOffset>979932</wp:posOffset>
            </wp:positionH>
            <wp:positionV relativeFrom="paragraph">
              <wp:posOffset>-9589</wp:posOffset>
            </wp:positionV>
            <wp:extent cx="1478280" cy="612648"/>
            <wp:effectExtent l="0" t="0" r="0" b="0"/>
            <wp:wrapNone/>
            <wp:docPr id="121" name="image8.png" descr=""/>
            <wp:cNvGraphicFramePr>
              <a:graphicFrameLocks noChangeAspect="1"/>
            </wp:cNvGraphicFramePr>
            <a:graphic>
              <a:graphicData uri="http://schemas.openxmlformats.org/drawingml/2006/picture">
                <pic:pic>
                  <pic:nvPicPr>
                    <pic:cNvPr id="122" name="image8.png"/>
                    <pic:cNvPicPr/>
                  </pic:nvPicPr>
                  <pic:blipFill>
                    <a:blip r:embed="rId12" cstate="print"/>
                    <a:stretch>
                      <a:fillRect/>
                    </a:stretch>
                  </pic:blipFill>
                  <pic:spPr>
                    <a:xfrm>
                      <a:off x="0" y="0"/>
                      <a:ext cx="1478280" cy="612648"/>
                    </a:xfrm>
                    <a:prstGeom prst="rect">
                      <a:avLst/>
                    </a:prstGeom>
                  </pic:spPr>
                </pic:pic>
              </a:graphicData>
            </a:graphic>
          </wp:anchor>
        </w:drawing>
      </w:r>
      <w:r>
        <w:rPr>
          <w:color w:val="385522"/>
        </w:rPr>
        <w:t>meio </w:t>
      </w:r>
      <w:r>
        <w:rPr>
          <w:color w:val="385522"/>
          <w:w w:val="95"/>
        </w:rPr>
        <w:t>ambiente</w:t>
      </w:r>
    </w:p>
    <w:p>
      <w:pPr>
        <w:spacing w:before="60"/>
        <w:ind w:left="455" w:right="0" w:firstLine="0"/>
        <w:jc w:val="left"/>
        <w:rPr>
          <w:rFonts w:ascii="Arial" w:hAnsi="Arial"/>
          <w:sz w:val="22"/>
        </w:rPr>
      </w:pPr>
      <w:r>
        <w:rPr/>
        <w:br w:type="column"/>
      </w:r>
      <w:r>
        <w:rPr>
          <w:rFonts w:ascii="Arial" w:hAnsi="Arial"/>
          <w:color w:val="385522"/>
          <w:sz w:val="22"/>
        </w:rPr>
        <w:t>Plano Municipal de Segurança de Barragens-PMSB</w:t>
      </w:r>
    </w:p>
    <w:p>
      <w:pPr>
        <w:spacing w:after="0"/>
        <w:jc w:val="left"/>
        <w:rPr>
          <w:rFonts w:ascii="Arial" w:hAnsi="Arial"/>
          <w:sz w:val="22"/>
        </w:rPr>
        <w:sectPr>
          <w:type w:val="continuous"/>
          <w:pgSz w:w="11910" w:h="16840"/>
          <w:pgMar w:top="0" w:bottom="280" w:left="0" w:right="0"/>
          <w:cols w:num="2" w:equalWidth="0">
            <w:col w:w="5155" w:space="77"/>
            <w:col w:w="6678"/>
          </w:cols>
        </w:sectPr>
      </w:pPr>
    </w:p>
    <w:p>
      <w:pPr>
        <w:pStyle w:val="BodyText"/>
        <w:rPr>
          <w:rFonts w:ascii="Arial"/>
          <w:sz w:val="20"/>
        </w:rPr>
      </w:pPr>
      <w:r>
        <w:rPr/>
        <w:drawing>
          <wp:anchor distT="0" distB="0" distL="0" distR="0" allowOverlap="1" layoutInCell="1" locked="0" behindDoc="0" simplePos="0" relativeHeight="3712">
            <wp:simplePos x="0" y="0"/>
            <wp:positionH relativeFrom="page">
              <wp:posOffset>288925</wp:posOffset>
            </wp:positionH>
            <wp:positionV relativeFrom="page">
              <wp:posOffset>634</wp:posOffset>
            </wp:positionV>
            <wp:extent cx="474344" cy="10691748"/>
            <wp:effectExtent l="0" t="0" r="0" b="0"/>
            <wp:wrapNone/>
            <wp:docPr id="123" name="image9.png" descr=""/>
            <wp:cNvGraphicFramePr>
              <a:graphicFrameLocks noChangeAspect="1"/>
            </wp:cNvGraphicFramePr>
            <a:graphic>
              <a:graphicData uri="http://schemas.openxmlformats.org/drawingml/2006/picture">
                <pic:pic>
                  <pic:nvPicPr>
                    <pic:cNvPr id="124" name="image9.png"/>
                    <pic:cNvPicPr/>
                  </pic:nvPicPr>
                  <pic:blipFill>
                    <a:blip r:embed="rId13" cstate="print"/>
                    <a:stretch>
                      <a:fillRect/>
                    </a:stretch>
                  </pic:blipFill>
                  <pic:spPr>
                    <a:xfrm>
                      <a:off x="0" y="0"/>
                      <a:ext cx="474344" cy="10691748"/>
                    </a:xfrm>
                    <a:prstGeom prst="rect">
                      <a:avLst/>
                    </a:prstGeom>
                  </pic:spPr>
                </pic:pic>
              </a:graphicData>
            </a:graphic>
          </wp:anchor>
        </w:drawing>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1"/>
        <w:rPr>
          <w:rFonts w:ascii="Arial"/>
          <w:sz w:val="13"/>
        </w:rPr>
      </w:pPr>
    </w:p>
    <w:tbl>
      <w:tblPr>
        <w:tblW w:w="0" w:type="auto"/>
        <w:jc w:val="left"/>
        <w:tblInd w:w="16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22"/>
        <w:gridCol w:w="1311"/>
        <w:gridCol w:w="1274"/>
        <w:gridCol w:w="1267"/>
        <w:gridCol w:w="1252"/>
        <w:gridCol w:w="1320"/>
        <w:gridCol w:w="847"/>
      </w:tblGrid>
      <w:tr>
        <w:trPr>
          <w:trHeight w:val="976" w:hRule="atLeast"/>
        </w:trPr>
        <w:tc>
          <w:tcPr>
            <w:tcW w:w="8593" w:type="dxa"/>
            <w:gridSpan w:val="7"/>
            <w:shd w:val="clear" w:color="auto" w:fill="001F5F"/>
          </w:tcPr>
          <w:p>
            <w:pPr>
              <w:pStyle w:val="TableParagraph"/>
              <w:spacing w:before="273"/>
              <w:ind w:left="1276"/>
              <w:rPr>
                <w:rFonts w:ascii="Trebuchet MS"/>
                <w:b/>
                <w:sz w:val="36"/>
              </w:rPr>
            </w:pPr>
            <w:r>
              <w:rPr>
                <w:rFonts w:ascii="Trebuchet MS"/>
                <w:b/>
                <w:color w:val="FFFFFF"/>
                <w:sz w:val="36"/>
              </w:rPr>
              <w:t>RUPTURAS</w:t>
            </w:r>
            <w:r>
              <w:rPr>
                <w:rFonts w:ascii="Trebuchet MS"/>
                <w:b/>
                <w:color w:val="FFFFFF"/>
                <w:spacing w:val="-51"/>
                <w:sz w:val="36"/>
              </w:rPr>
              <w:t> </w:t>
            </w:r>
            <w:r>
              <w:rPr>
                <w:rFonts w:ascii="Trebuchet MS"/>
                <w:b/>
                <w:color w:val="FFFFFF"/>
                <w:sz w:val="36"/>
              </w:rPr>
              <w:t>/</w:t>
            </w:r>
            <w:r>
              <w:rPr>
                <w:rFonts w:ascii="Trebuchet MS"/>
                <w:b/>
                <w:color w:val="FFFFFF"/>
                <w:spacing w:val="-51"/>
                <w:sz w:val="36"/>
              </w:rPr>
              <w:t> </w:t>
            </w:r>
            <w:r>
              <w:rPr>
                <w:rFonts w:ascii="Trebuchet MS"/>
                <w:b/>
                <w:color w:val="FFFFFF"/>
                <w:sz w:val="36"/>
              </w:rPr>
              <w:t>ACIDENTES DE BARRAGENS</w:t>
            </w:r>
          </w:p>
        </w:tc>
      </w:tr>
      <w:tr>
        <w:trPr>
          <w:trHeight w:val="1897" w:hRule="atLeast"/>
        </w:trPr>
        <w:tc>
          <w:tcPr>
            <w:tcW w:w="1322" w:type="dxa"/>
            <w:shd w:val="clear" w:color="auto" w:fill="BCD5ED"/>
          </w:tcPr>
          <w:p>
            <w:pPr>
              <w:pStyle w:val="TableParagraph"/>
              <w:rPr>
                <w:rFonts w:ascii="Arial"/>
                <w:sz w:val="20"/>
              </w:rPr>
            </w:pPr>
          </w:p>
          <w:p>
            <w:pPr>
              <w:pStyle w:val="TableParagraph"/>
              <w:rPr>
                <w:rFonts w:ascii="Arial"/>
                <w:sz w:val="20"/>
              </w:rPr>
            </w:pPr>
          </w:p>
          <w:p>
            <w:pPr>
              <w:pStyle w:val="TableParagraph"/>
              <w:rPr>
                <w:rFonts w:ascii="Arial"/>
                <w:sz w:val="20"/>
              </w:rPr>
            </w:pPr>
          </w:p>
          <w:p>
            <w:pPr>
              <w:pStyle w:val="TableParagraph"/>
              <w:spacing w:before="140"/>
              <w:ind w:left="44" w:right="40"/>
              <w:jc w:val="center"/>
              <w:rPr>
                <w:rFonts w:ascii="Arial" w:hAnsi="Arial"/>
                <w:sz w:val="20"/>
              </w:rPr>
            </w:pPr>
            <w:r>
              <w:rPr>
                <w:rFonts w:ascii="Arial" w:hAnsi="Arial"/>
                <w:w w:val="90"/>
                <w:sz w:val="20"/>
              </w:rPr>
              <w:t>PERÍODO</w:t>
            </w:r>
          </w:p>
        </w:tc>
        <w:tc>
          <w:tcPr>
            <w:tcW w:w="1311" w:type="dxa"/>
            <w:shd w:val="clear" w:color="auto" w:fill="BCD5ED"/>
          </w:tcPr>
          <w:p>
            <w:pPr>
              <w:pStyle w:val="TableParagraph"/>
              <w:spacing w:before="6"/>
              <w:rPr>
                <w:rFonts w:ascii="Arial"/>
                <w:sz w:val="29"/>
              </w:rPr>
            </w:pPr>
          </w:p>
          <w:p>
            <w:pPr>
              <w:pStyle w:val="TableParagraph"/>
              <w:spacing w:line="254" w:lineRule="auto"/>
              <w:ind w:left="96" w:right="89"/>
              <w:jc w:val="center"/>
              <w:rPr>
                <w:rFonts w:ascii="Arial"/>
                <w:sz w:val="20"/>
              </w:rPr>
            </w:pPr>
            <w:r>
              <w:rPr>
                <w:rFonts w:ascii="Arial"/>
                <w:sz w:val="20"/>
              </w:rPr>
              <w:t>Rupturas </w:t>
            </w:r>
            <w:r>
              <w:rPr>
                <w:rFonts w:ascii="Arial"/>
                <w:w w:val="95"/>
                <w:sz w:val="20"/>
              </w:rPr>
              <w:t>muito graves </w:t>
            </w:r>
            <w:r>
              <w:rPr>
                <w:rFonts w:ascii="Arial"/>
                <w:w w:val="90"/>
                <w:sz w:val="20"/>
              </w:rPr>
              <w:t>de barragens </w:t>
            </w:r>
            <w:r>
              <w:rPr>
                <w:rFonts w:ascii="Arial"/>
                <w:sz w:val="20"/>
              </w:rPr>
              <w:t>de rejeitos</w:t>
            </w:r>
          </w:p>
          <w:p>
            <w:pPr>
              <w:pStyle w:val="TableParagraph"/>
              <w:spacing w:before="2"/>
              <w:ind w:left="94" w:right="89"/>
              <w:jc w:val="center"/>
              <w:rPr>
                <w:rFonts w:ascii="Arial"/>
                <w:sz w:val="20"/>
              </w:rPr>
            </w:pPr>
            <w:r>
              <w:rPr>
                <w:rFonts w:ascii="Arial"/>
                <w:sz w:val="20"/>
              </w:rPr>
              <w:t>( 1 )</w:t>
            </w:r>
          </w:p>
        </w:tc>
        <w:tc>
          <w:tcPr>
            <w:tcW w:w="1274" w:type="dxa"/>
            <w:shd w:val="clear" w:color="auto" w:fill="BCD5ED"/>
          </w:tcPr>
          <w:p>
            <w:pPr>
              <w:pStyle w:val="TableParagraph"/>
              <w:spacing w:before="6"/>
              <w:rPr>
                <w:rFonts w:ascii="Arial"/>
                <w:sz w:val="29"/>
              </w:rPr>
            </w:pPr>
          </w:p>
          <w:p>
            <w:pPr>
              <w:pStyle w:val="TableParagraph"/>
              <w:spacing w:line="254" w:lineRule="auto"/>
              <w:ind w:left="204" w:right="195" w:firstLine="2"/>
              <w:jc w:val="center"/>
              <w:rPr>
                <w:rFonts w:ascii="Arial"/>
                <w:sz w:val="20"/>
              </w:rPr>
            </w:pPr>
            <w:r>
              <w:rPr>
                <w:rFonts w:ascii="Arial"/>
                <w:w w:val="95"/>
                <w:sz w:val="20"/>
              </w:rPr>
              <w:t>Rupturas graves</w:t>
            </w:r>
            <w:r>
              <w:rPr>
                <w:rFonts w:ascii="Arial"/>
                <w:spacing w:val="-35"/>
                <w:w w:val="95"/>
                <w:sz w:val="20"/>
              </w:rPr>
              <w:t> </w:t>
            </w:r>
            <w:r>
              <w:rPr>
                <w:rFonts w:ascii="Arial"/>
                <w:w w:val="95"/>
                <w:sz w:val="20"/>
              </w:rPr>
              <w:t>de </w:t>
            </w:r>
            <w:r>
              <w:rPr>
                <w:rFonts w:ascii="Arial"/>
                <w:w w:val="90"/>
                <w:sz w:val="20"/>
              </w:rPr>
              <w:t>barragens </w:t>
            </w:r>
            <w:r>
              <w:rPr>
                <w:rFonts w:ascii="Arial"/>
                <w:w w:val="95"/>
                <w:sz w:val="20"/>
              </w:rPr>
              <w:t>de</w:t>
            </w:r>
            <w:r>
              <w:rPr>
                <w:rFonts w:ascii="Arial"/>
                <w:spacing w:val="-19"/>
                <w:w w:val="95"/>
                <w:sz w:val="20"/>
              </w:rPr>
              <w:t> </w:t>
            </w:r>
            <w:r>
              <w:rPr>
                <w:rFonts w:ascii="Arial"/>
                <w:w w:val="95"/>
                <w:sz w:val="20"/>
              </w:rPr>
              <w:t>rejeitos </w:t>
            </w:r>
            <w:r>
              <w:rPr>
                <w:rFonts w:ascii="Arial"/>
                <w:sz w:val="20"/>
              </w:rPr>
              <w:t>( 2</w:t>
            </w:r>
            <w:r>
              <w:rPr>
                <w:rFonts w:ascii="Arial"/>
                <w:spacing w:val="-28"/>
                <w:sz w:val="20"/>
              </w:rPr>
              <w:t> </w:t>
            </w:r>
            <w:r>
              <w:rPr>
                <w:rFonts w:ascii="Arial"/>
                <w:sz w:val="20"/>
              </w:rPr>
              <w:t>)</w:t>
            </w:r>
          </w:p>
        </w:tc>
        <w:tc>
          <w:tcPr>
            <w:tcW w:w="1267" w:type="dxa"/>
            <w:shd w:val="clear" w:color="auto" w:fill="BCD5ED"/>
          </w:tcPr>
          <w:p>
            <w:pPr>
              <w:pStyle w:val="TableParagraph"/>
              <w:spacing w:before="6"/>
              <w:rPr>
                <w:rFonts w:ascii="Arial"/>
                <w:sz w:val="29"/>
              </w:rPr>
            </w:pPr>
          </w:p>
          <w:p>
            <w:pPr>
              <w:pStyle w:val="TableParagraph"/>
              <w:spacing w:line="254" w:lineRule="auto"/>
              <w:ind w:left="142" w:right="129"/>
              <w:jc w:val="center"/>
              <w:rPr>
                <w:rFonts w:ascii="Arial"/>
                <w:sz w:val="20"/>
              </w:rPr>
            </w:pPr>
            <w:r>
              <w:rPr>
                <w:rFonts w:ascii="Arial"/>
                <w:sz w:val="20"/>
              </w:rPr>
              <w:t>Demais </w:t>
            </w:r>
            <w:r>
              <w:rPr>
                <w:rFonts w:ascii="Arial"/>
                <w:w w:val="90"/>
                <w:sz w:val="20"/>
              </w:rPr>
              <w:t>Rupturas de </w:t>
            </w:r>
            <w:r>
              <w:rPr>
                <w:rFonts w:ascii="Arial"/>
                <w:w w:val="95"/>
                <w:sz w:val="20"/>
              </w:rPr>
              <w:t>barragens </w:t>
            </w:r>
            <w:r>
              <w:rPr>
                <w:rFonts w:ascii="Arial"/>
                <w:sz w:val="20"/>
              </w:rPr>
              <w:t>de rejeitos</w:t>
            </w:r>
          </w:p>
          <w:p>
            <w:pPr>
              <w:pStyle w:val="TableParagraph"/>
              <w:spacing w:before="2"/>
              <w:ind w:left="140" w:right="129"/>
              <w:jc w:val="center"/>
              <w:rPr>
                <w:rFonts w:ascii="Arial"/>
                <w:sz w:val="20"/>
              </w:rPr>
            </w:pPr>
            <w:r>
              <w:rPr>
                <w:rFonts w:ascii="Arial"/>
                <w:sz w:val="20"/>
              </w:rPr>
              <w:t>( 3 )</w:t>
            </w:r>
          </w:p>
        </w:tc>
        <w:tc>
          <w:tcPr>
            <w:tcW w:w="1252" w:type="dxa"/>
            <w:shd w:val="clear" w:color="auto" w:fill="BCD5ED"/>
          </w:tcPr>
          <w:p>
            <w:pPr>
              <w:pStyle w:val="TableParagraph"/>
              <w:spacing w:before="10"/>
              <w:rPr>
                <w:rFonts w:ascii="Arial"/>
                <w:sz w:val="18"/>
              </w:rPr>
            </w:pPr>
          </w:p>
          <w:p>
            <w:pPr>
              <w:pStyle w:val="TableParagraph"/>
              <w:spacing w:line="254" w:lineRule="auto" w:before="1"/>
              <w:ind w:left="109" w:right="95" w:firstLine="1"/>
              <w:jc w:val="center"/>
              <w:rPr>
                <w:rFonts w:ascii="Arial"/>
                <w:sz w:val="20"/>
              </w:rPr>
            </w:pPr>
            <w:r>
              <w:rPr>
                <w:rFonts w:ascii="Arial"/>
                <w:sz w:val="20"/>
              </w:rPr>
              <w:t>Demais acidentes </w:t>
            </w:r>
            <w:r>
              <w:rPr>
                <w:rFonts w:ascii="Arial"/>
                <w:w w:val="90"/>
                <w:sz w:val="20"/>
              </w:rPr>
              <w:t>relacionados </w:t>
            </w:r>
            <w:r>
              <w:rPr>
                <w:rFonts w:ascii="Arial"/>
                <w:w w:val="95"/>
                <w:sz w:val="20"/>
              </w:rPr>
              <w:t>a barragens </w:t>
            </w:r>
            <w:r>
              <w:rPr>
                <w:rFonts w:ascii="Arial"/>
                <w:sz w:val="20"/>
              </w:rPr>
              <w:t>de rejeitos</w:t>
            </w:r>
          </w:p>
          <w:p>
            <w:pPr>
              <w:pStyle w:val="TableParagraph"/>
              <w:spacing w:before="2"/>
              <w:ind w:left="429" w:right="416"/>
              <w:jc w:val="center"/>
              <w:rPr>
                <w:rFonts w:ascii="Arial"/>
                <w:sz w:val="20"/>
              </w:rPr>
            </w:pPr>
            <w:r>
              <w:rPr>
                <w:rFonts w:ascii="Arial"/>
                <w:sz w:val="20"/>
              </w:rPr>
              <w:t>( 4 )</w:t>
            </w:r>
          </w:p>
        </w:tc>
        <w:tc>
          <w:tcPr>
            <w:tcW w:w="1320" w:type="dxa"/>
            <w:shd w:val="clear" w:color="auto" w:fill="BCD5ED"/>
          </w:tcPr>
          <w:p>
            <w:pPr>
              <w:pStyle w:val="TableParagraph"/>
              <w:spacing w:line="254" w:lineRule="auto" w:before="95"/>
              <w:ind w:left="273" w:right="256" w:hanging="1"/>
              <w:jc w:val="center"/>
              <w:rPr>
                <w:rFonts w:ascii="Arial" w:hAnsi="Arial"/>
                <w:sz w:val="20"/>
              </w:rPr>
            </w:pPr>
            <w:r>
              <w:rPr>
                <w:rFonts w:ascii="Arial" w:hAnsi="Arial"/>
                <w:w w:val="95"/>
                <w:sz w:val="20"/>
              </w:rPr>
              <w:t>Demais </w:t>
            </w:r>
            <w:r>
              <w:rPr>
                <w:rFonts w:ascii="Arial" w:hAnsi="Arial"/>
                <w:w w:val="90"/>
                <w:sz w:val="20"/>
              </w:rPr>
              <w:t>acidentes </w:t>
            </w:r>
            <w:r>
              <w:rPr>
                <w:rFonts w:ascii="Arial" w:hAnsi="Arial"/>
                <w:sz w:val="20"/>
              </w:rPr>
              <w:t>NÃO</w:t>
            </w:r>
          </w:p>
          <w:p>
            <w:pPr>
              <w:pStyle w:val="TableParagraph"/>
              <w:spacing w:line="254" w:lineRule="auto" w:before="3"/>
              <w:ind w:left="184" w:right="129" w:hanging="41"/>
              <w:jc w:val="both"/>
              <w:rPr>
                <w:rFonts w:ascii="Arial"/>
                <w:sz w:val="20"/>
              </w:rPr>
            </w:pPr>
            <w:r>
              <w:rPr>
                <w:rFonts w:ascii="Arial"/>
                <w:w w:val="90"/>
                <w:sz w:val="20"/>
              </w:rPr>
              <w:t>relacionados </w:t>
            </w:r>
            <w:r>
              <w:rPr>
                <w:rFonts w:ascii="Arial"/>
                <w:w w:val="95"/>
                <w:sz w:val="20"/>
              </w:rPr>
              <w:t>a</w:t>
            </w:r>
            <w:r>
              <w:rPr>
                <w:rFonts w:ascii="Arial"/>
                <w:spacing w:val="-36"/>
                <w:w w:val="95"/>
                <w:sz w:val="20"/>
              </w:rPr>
              <w:t> </w:t>
            </w:r>
            <w:r>
              <w:rPr>
                <w:rFonts w:ascii="Arial"/>
                <w:w w:val="95"/>
                <w:sz w:val="20"/>
              </w:rPr>
              <w:t>barragens </w:t>
            </w:r>
            <w:r>
              <w:rPr>
                <w:rFonts w:ascii="Arial"/>
                <w:sz w:val="20"/>
              </w:rPr>
              <w:t>de</w:t>
            </w:r>
            <w:r>
              <w:rPr>
                <w:rFonts w:ascii="Arial"/>
                <w:spacing w:val="-25"/>
                <w:sz w:val="20"/>
              </w:rPr>
              <w:t> </w:t>
            </w:r>
            <w:r>
              <w:rPr>
                <w:rFonts w:ascii="Arial"/>
                <w:sz w:val="20"/>
              </w:rPr>
              <w:t>rejeitos</w:t>
            </w:r>
          </w:p>
          <w:p>
            <w:pPr>
              <w:pStyle w:val="TableParagraph"/>
              <w:spacing w:before="1"/>
              <w:ind w:left="464" w:right="450"/>
              <w:jc w:val="center"/>
              <w:rPr>
                <w:rFonts w:ascii="Arial"/>
                <w:sz w:val="20"/>
              </w:rPr>
            </w:pPr>
            <w:r>
              <w:rPr>
                <w:rFonts w:ascii="Arial"/>
                <w:sz w:val="20"/>
              </w:rPr>
              <w:t>( 5 )</w:t>
            </w:r>
          </w:p>
        </w:tc>
        <w:tc>
          <w:tcPr>
            <w:tcW w:w="847" w:type="dxa"/>
            <w:shd w:val="clear" w:color="auto" w:fill="BCD5ED"/>
          </w:tcPr>
          <w:p>
            <w:pPr>
              <w:pStyle w:val="TableParagraph"/>
              <w:rPr>
                <w:rFonts w:ascii="Arial"/>
                <w:sz w:val="22"/>
              </w:rPr>
            </w:pPr>
          </w:p>
          <w:p>
            <w:pPr>
              <w:pStyle w:val="TableParagraph"/>
              <w:rPr>
                <w:rFonts w:ascii="Arial"/>
                <w:sz w:val="22"/>
              </w:rPr>
            </w:pPr>
          </w:p>
          <w:p>
            <w:pPr>
              <w:pStyle w:val="TableParagraph"/>
              <w:spacing w:before="8"/>
              <w:rPr>
                <w:rFonts w:ascii="Arial"/>
                <w:sz w:val="26"/>
              </w:rPr>
            </w:pPr>
          </w:p>
          <w:p>
            <w:pPr>
              <w:pStyle w:val="TableParagraph"/>
              <w:ind w:left="81" w:right="65"/>
              <w:jc w:val="center"/>
              <w:rPr>
                <w:rFonts w:ascii="Trebuchet MS"/>
                <w:b/>
                <w:sz w:val="22"/>
              </w:rPr>
            </w:pPr>
            <w:r>
              <w:rPr>
                <w:rFonts w:ascii="Trebuchet MS"/>
                <w:b/>
                <w:w w:val="95"/>
                <w:sz w:val="22"/>
              </w:rPr>
              <w:t>TOTAL</w:t>
            </w:r>
          </w:p>
        </w:tc>
      </w:tr>
      <w:tr>
        <w:trPr>
          <w:trHeight w:val="341" w:hRule="atLeast"/>
        </w:trPr>
        <w:tc>
          <w:tcPr>
            <w:tcW w:w="1322" w:type="dxa"/>
          </w:tcPr>
          <w:p>
            <w:pPr>
              <w:pStyle w:val="TableParagraph"/>
              <w:spacing w:line="317" w:lineRule="exact" w:before="4"/>
              <w:ind w:left="47" w:right="40"/>
              <w:jc w:val="center"/>
              <w:rPr>
                <w:rFonts w:ascii="Arial"/>
                <w:sz w:val="28"/>
              </w:rPr>
            </w:pPr>
            <w:r>
              <w:rPr>
                <w:rFonts w:ascii="Arial"/>
                <w:sz w:val="28"/>
              </w:rPr>
              <w:t>2010 - 19</w:t>
            </w:r>
          </w:p>
        </w:tc>
        <w:tc>
          <w:tcPr>
            <w:tcW w:w="1311" w:type="dxa"/>
          </w:tcPr>
          <w:p>
            <w:pPr>
              <w:pStyle w:val="TableParagraph"/>
              <w:spacing w:line="317" w:lineRule="exact" w:before="4"/>
              <w:ind w:left="7"/>
              <w:jc w:val="center"/>
              <w:rPr>
                <w:rFonts w:ascii="Arial"/>
                <w:sz w:val="28"/>
              </w:rPr>
            </w:pPr>
            <w:r>
              <w:rPr>
                <w:rFonts w:ascii="Arial"/>
                <w:w w:val="91"/>
                <w:sz w:val="28"/>
              </w:rPr>
              <w:t>6</w:t>
            </w:r>
          </w:p>
        </w:tc>
        <w:tc>
          <w:tcPr>
            <w:tcW w:w="1274" w:type="dxa"/>
          </w:tcPr>
          <w:p>
            <w:pPr>
              <w:pStyle w:val="TableParagraph"/>
              <w:spacing w:line="317" w:lineRule="exact" w:before="4"/>
              <w:ind w:left="6"/>
              <w:jc w:val="center"/>
              <w:rPr>
                <w:rFonts w:ascii="Arial"/>
                <w:sz w:val="28"/>
              </w:rPr>
            </w:pPr>
            <w:r>
              <w:rPr>
                <w:rFonts w:ascii="Arial"/>
                <w:w w:val="91"/>
                <w:sz w:val="28"/>
              </w:rPr>
              <w:t>5</w:t>
            </w:r>
          </w:p>
        </w:tc>
        <w:tc>
          <w:tcPr>
            <w:tcW w:w="1267" w:type="dxa"/>
          </w:tcPr>
          <w:p>
            <w:pPr>
              <w:pStyle w:val="TableParagraph"/>
              <w:spacing w:line="317" w:lineRule="exact" w:before="4"/>
              <w:ind w:left="140" w:right="129"/>
              <w:jc w:val="center"/>
              <w:rPr>
                <w:rFonts w:ascii="Arial"/>
                <w:sz w:val="28"/>
              </w:rPr>
            </w:pPr>
            <w:r>
              <w:rPr>
                <w:rFonts w:ascii="Arial"/>
                <w:sz w:val="28"/>
              </w:rPr>
              <w:t>12</w:t>
            </w:r>
          </w:p>
        </w:tc>
        <w:tc>
          <w:tcPr>
            <w:tcW w:w="1252" w:type="dxa"/>
          </w:tcPr>
          <w:p>
            <w:pPr>
              <w:pStyle w:val="TableParagraph"/>
              <w:spacing w:line="317" w:lineRule="exact" w:before="4"/>
              <w:ind w:left="11"/>
              <w:jc w:val="center"/>
              <w:rPr>
                <w:rFonts w:ascii="Arial"/>
                <w:sz w:val="28"/>
              </w:rPr>
            </w:pPr>
            <w:r>
              <w:rPr>
                <w:rFonts w:ascii="Arial"/>
                <w:w w:val="91"/>
                <w:sz w:val="28"/>
              </w:rPr>
              <w:t>1</w:t>
            </w:r>
          </w:p>
        </w:tc>
        <w:tc>
          <w:tcPr>
            <w:tcW w:w="1320" w:type="dxa"/>
          </w:tcPr>
          <w:p>
            <w:pPr>
              <w:pStyle w:val="TableParagraph"/>
              <w:spacing w:line="317" w:lineRule="exact" w:before="4"/>
              <w:ind w:left="589"/>
              <w:rPr>
                <w:rFonts w:ascii="Arial"/>
                <w:sz w:val="28"/>
              </w:rPr>
            </w:pPr>
            <w:r>
              <w:rPr>
                <w:rFonts w:ascii="Arial"/>
                <w:w w:val="91"/>
                <w:sz w:val="28"/>
              </w:rPr>
              <w:t>2</w:t>
            </w:r>
          </w:p>
        </w:tc>
        <w:tc>
          <w:tcPr>
            <w:tcW w:w="847" w:type="dxa"/>
          </w:tcPr>
          <w:p>
            <w:pPr>
              <w:pStyle w:val="TableParagraph"/>
              <w:spacing w:line="317" w:lineRule="exact" w:before="4"/>
              <w:ind w:left="78" w:right="65"/>
              <w:jc w:val="center"/>
              <w:rPr>
                <w:rFonts w:ascii="Trebuchet MS"/>
                <w:b/>
                <w:sz w:val="28"/>
              </w:rPr>
            </w:pPr>
            <w:r>
              <w:rPr>
                <w:rFonts w:ascii="Trebuchet MS"/>
                <w:b/>
                <w:w w:val="95"/>
                <w:sz w:val="28"/>
              </w:rPr>
              <w:t>26</w:t>
            </w:r>
          </w:p>
        </w:tc>
      </w:tr>
      <w:tr>
        <w:trPr>
          <w:trHeight w:val="342" w:hRule="atLeast"/>
        </w:trPr>
        <w:tc>
          <w:tcPr>
            <w:tcW w:w="1322" w:type="dxa"/>
          </w:tcPr>
          <w:p>
            <w:pPr>
              <w:pStyle w:val="TableParagraph"/>
              <w:spacing w:line="317" w:lineRule="exact" w:before="6"/>
              <w:ind w:left="47" w:right="40"/>
              <w:jc w:val="center"/>
              <w:rPr>
                <w:rFonts w:ascii="Arial"/>
                <w:sz w:val="28"/>
              </w:rPr>
            </w:pPr>
            <w:r>
              <w:rPr>
                <w:rFonts w:ascii="Arial"/>
                <w:sz w:val="28"/>
              </w:rPr>
              <w:t>2000 - 09</w:t>
            </w:r>
          </w:p>
        </w:tc>
        <w:tc>
          <w:tcPr>
            <w:tcW w:w="1311" w:type="dxa"/>
          </w:tcPr>
          <w:p>
            <w:pPr>
              <w:pStyle w:val="TableParagraph"/>
              <w:spacing w:line="317" w:lineRule="exact" w:before="6"/>
              <w:ind w:left="93" w:right="89"/>
              <w:jc w:val="center"/>
              <w:rPr>
                <w:rFonts w:ascii="Arial"/>
                <w:sz w:val="28"/>
              </w:rPr>
            </w:pPr>
            <w:r>
              <w:rPr>
                <w:rFonts w:ascii="Arial"/>
                <w:sz w:val="28"/>
              </w:rPr>
              <w:t>10</w:t>
            </w:r>
          </w:p>
        </w:tc>
        <w:tc>
          <w:tcPr>
            <w:tcW w:w="1274" w:type="dxa"/>
          </w:tcPr>
          <w:p>
            <w:pPr>
              <w:pStyle w:val="TableParagraph"/>
              <w:spacing w:line="317" w:lineRule="exact" w:before="6"/>
              <w:ind w:left="6"/>
              <w:jc w:val="center"/>
              <w:rPr>
                <w:rFonts w:ascii="Arial"/>
                <w:sz w:val="28"/>
              </w:rPr>
            </w:pPr>
            <w:r>
              <w:rPr>
                <w:rFonts w:ascii="Arial"/>
                <w:w w:val="91"/>
                <w:sz w:val="28"/>
              </w:rPr>
              <w:t>7</w:t>
            </w:r>
          </w:p>
        </w:tc>
        <w:tc>
          <w:tcPr>
            <w:tcW w:w="1267" w:type="dxa"/>
          </w:tcPr>
          <w:p>
            <w:pPr>
              <w:pStyle w:val="TableParagraph"/>
              <w:spacing w:line="317" w:lineRule="exact" w:before="6"/>
              <w:ind w:left="9"/>
              <w:jc w:val="center"/>
              <w:rPr>
                <w:rFonts w:ascii="Arial"/>
                <w:sz w:val="28"/>
              </w:rPr>
            </w:pPr>
            <w:r>
              <w:rPr>
                <w:rFonts w:ascii="Arial"/>
                <w:w w:val="91"/>
                <w:sz w:val="28"/>
              </w:rPr>
              <w:t>8</w:t>
            </w:r>
          </w:p>
        </w:tc>
        <w:tc>
          <w:tcPr>
            <w:tcW w:w="1252" w:type="dxa"/>
          </w:tcPr>
          <w:p>
            <w:pPr>
              <w:pStyle w:val="TableParagraph"/>
              <w:spacing w:line="317" w:lineRule="exact" w:before="6"/>
              <w:ind w:left="11"/>
              <w:jc w:val="center"/>
              <w:rPr>
                <w:rFonts w:ascii="Arial"/>
                <w:sz w:val="28"/>
              </w:rPr>
            </w:pPr>
            <w:r>
              <w:rPr>
                <w:rFonts w:ascii="Arial"/>
                <w:w w:val="91"/>
                <w:sz w:val="28"/>
              </w:rPr>
              <w:t>1</w:t>
            </w:r>
          </w:p>
        </w:tc>
        <w:tc>
          <w:tcPr>
            <w:tcW w:w="1320" w:type="dxa"/>
          </w:tcPr>
          <w:p>
            <w:pPr>
              <w:pStyle w:val="TableParagraph"/>
              <w:spacing w:line="317" w:lineRule="exact" w:before="6"/>
              <w:ind w:left="589"/>
              <w:rPr>
                <w:rFonts w:ascii="Arial"/>
                <w:sz w:val="28"/>
              </w:rPr>
            </w:pPr>
            <w:r>
              <w:rPr>
                <w:rFonts w:ascii="Arial"/>
                <w:w w:val="91"/>
                <w:sz w:val="28"/>
              </w:rPr>
              <w:t>0</w:t>
            </w:r>
          </w:p>
        </w:tc>
        <w:tc>
          <w:tcPr>
            <w:tcW w:w="847" w:type="dxa"/>
          </w:tcPr>
          <w:p>
            <w:pPr>
              <w:pStyle w:val="TableParagraph"/>
              <w:spacing w:line="317" w:lineRule="exact" w:before="5"/>
              <w:ind w:left="77" w:right="65"/>
              <w:jc w:val="center"/>
              <w:rPr>
                <w:rFonts w:ascii="Trebuchet MS"/>
                <w:b/>
                <w:sz w:val="28"/>
              </w:rPr>
            </w:pPr>
            <w:r>
              <w:rPr>
                <w:rFonts w:ascii="Trebuchet MS"/>
                <w:b/>
                <w:w w:val="95"/>
                <w:sz w:val="28"/>
              </w:rPr>
              <w:t>26</w:t>
            </w:r>
          </w:p>
        </w:tc>
      </w:tr>
      <w:tr>
        <w:trPr>
          <w:trHeight w:val="342" w:hRule="atLeast"/>
        </w:trPr>
        <w:tc>
          <w:tcPr>
            <w:tcW w:w="1322" w:type="dxa"/>
          </w:tcPr>
          <w:p>
            <w:pPr>
              <w:pStyle w:val="TableParagraph"/>
              <w:spacing w:line="319" w:lineRule="exact" w:before="3"/>
              <w:ind w:left="47" w:right="40"/>
              <w:jc w:val="center"/>
              <w:rPr>
                <w:rFonts w:ascii="Arial"/>
                <w:sz w:val="28"/>
              </w:rPr>
            </w:pPr>
            <w:r>
              <w:rPr>
                <w:rFonts w:ascii="Arial"/>
                <w:sz w:val="28"/>
              </w:rPr>
              <w:t>1990 - 99</w:t>
            </w:r>
          </w:p>
        </w:tc>
        <w:tc>
          <w:tcPr>
            <w:tcW w:w="1311" w:type="dxa"/>
          </w:tcPr>
          <w:p>
            <w:pPr>
              <w:pStyle w:val="TableParagraph"/>
              <w:spacing w:line="319" w:lineRule="exact" w:before="3"/>
              <w:ind w:left="7"/>
              <w:jc w:val="center"/>
              <w:rPr>
                <w:rFonts w:ascii="Arial"/>
                <w:sz w:val="28"/>
              </w:rPr>
            </w:pPr>
            <w:r>
              <w:rPr>
                <w:rFonts w:ascii="Arial"/>
                <w:w w:val="91"/>
                <w:sz w:val="28"/>
              </w:rPr>
              <w:t>9</w:t>
            </w:r>
          </w:p>
        </w:tc>
        <w:tc>
          <w:tcPr>
            <w:tcW w:w="1274" w:type="dxa"/>
          </w:tcPr>
          <w:p>
            <w:pPr>
              <w:pStyle w:val="TableParagraph"/>
              <w:spacing w:line="319" w:lineRule="exact" w:before="3"/>
              <w:ind w:left="460" w:right="452"/>
              <w:jc w:val="center"/>
              <w:rPr>
                <w:rFonts w:ascii="Arial"/>
                <w:sz w:val="28"/>
              </w:rPr>
            </w:pPr>
            <w:r>
              <w:rPr>
                <w:rFonts w:ascii="Arial"/>
                <w:sz w:val="28"/>
              </w:rPr>
              <w:t>10</w:t>
            </w:r>
          </w:p>
        </w:tc>
        <w:tc>
          <w:tcPr>
            <w:tcW w:w="1267" w:type="dxa"/>
          </w:tcPr>
          <w:p>
            <w:pPr>
              <w:pStyle w:val="TableParagraph"/>
              <w:spacing w:line="319" w:lineRule="exact" w:before="3"/>
              <w:ind w:left="140" w:right="129"/>
              <w:jc w:val="center"/>
              <w:rPr>
                <w:rFonts w:ascii="Arial"/>
                <w:sz w:val="28"/>
              </w:rPr>
            </w:pPr>
            <w:r>
              <w:rPr>
                <w:rFonts w:ascii="Arial"/>
                <w:sz w:val="28"/>
              </w:rPr>
              <w:t>21</w:t>
            </w:r>
          </w:p>
        </w:tc>
        <w:tc>
          <w:tcPr>
            <w:tcW w:w="1252" w:type="dxa"/>
          </w:tcPr>
          <w:p>
            <w:pPr>
              <w:pStyle w:val="TableParagraph"/>
              <w:spacing w:line="319" w:lineRule="exact" w:before="3"/>
              <w:ind w:left="11"/>
              <w:jc w:val="center"/>
              <w:rPr>
                <w:rFonts w:ascii="Arial"/>
                <w:sz w:val="28"/>
              </w:rPr>
            </w:pPr>
            <w:r>
              <w:rPr>
                <w:rFonts w:ascii="Arial"/>
                <w:w w:val="91"/>
                <w:sz w:val="28"/>
              </w:rPr>
              <w:t>1</w:t>
            </w:r>
          </w:p>
        </w:tc>
        <w:tc>
          <w:tcPr>
            <w:tcW w:w="1320" w:type="dxa"/>
          </w:tcPr>
          <w:p>
            <w:pPr>
              <w:pStyle w:val="TableParagraph"/>
              <w:spacing w:line="319" w:lineRule="exact" w:before="3"/>
              <w:ind w:left="589"/>
              <w:rPr>
                <w:rFonts w:ascii="Arial"/>
                <w:sz w:val="28"/>
              </w:rPr>
            </w:pPr>
            <w:r>
              <w:rPr>
                <w:rFonts w:ascii="Arial"/>
                <w:w w:val="91"/>
                <w:sz w:val="28"/>
              </w:rPr>
              <w:t>0</w:t>
            </w:r>
          </w:p>
        </w:tc>
        <w:tc>
          <w:tcPr>
            <w:tcW w:w="847" w:type="dxa"/>
          </w:tcPr>
          <w:p>
            <w:pPr>
              <w:pStyle w:val="TableParagraph"/>
              <w:spacing w:line="320" w:lineRule="exact" w:before="3"/>
              <w:ind w:left="77" w:right="65"/>
              <w:jc w:val="center"/>
              <w:rPr>
                <w:rFonts w:ascii="Trebuchet MS"/>
                <w:b/>
                <w:sz w:val="28"/>
              </w:rPr>
            </w:pPr>
            <w:r>
              <w:rPr>
                <w:rFonts w:ascii="Trebuchet MS"/>
                <w:b/>
                <w:w w:val="95"/>
                <w:sz w:val="28"/>
              </w:rPr>
              <w:t>41</w:t>
            </w:r>
          </w:p>
        </w:tc>
      </w:tr>
      <w:tr>
        <w:trPr>
          <w:trHeight w:val="340" w:hRule="atLeast"/>
        </w:trPr>
        <w:tc>
          <w:tcPr>
            <w:tcW w:w="1322" w:type="dxa"/>
          </w:tcPr>
          <w:p>
            <w:pPr>
              <w:pStyle w:val="TableParagraph"/>
              <w:spacing w:line="317" w:lineRule="exact" w:before="3"/>
              <w:ind w:left="47" w:right="40"/>
              <w:jc w:val="center"/>
              <w:rPr>
                <w:rFonts w:ascii="Arial"/>
                <w:sz w:val="28"/>
              </w:rPr>
            </w:pPr>
            <w:r>
              <w:rPr>
                <w:rFonts w:ascii="Arial"/>
                <w:sz w:val="28"/>
              </w:rPr>
              <w:t>1980 - 89</w:t>
            </w:r>
          </w:p>
        </w:tc>
        <w:tc>
          <w:tcPr>
            <w:tcW w:w="1311" w:type="dxa"/>
          </w:tcPr>
          <w:p>
            <w:pPr>
              <w:pStyle w:val="TableParagraph"/>
              <w:spacing w:line="317" w:lineRule="exact" w:before="3"/>
              <w:ind w:left="7"/>
              <w:jc w:val="center"/>
              <w:rPr>
                <w:rFonts w:ascii="Arial"/>
                <w:sz w:val="28"/>
              </w:rPr>
            </w:pPr>
            <w:r>
              <w:rPr>
                <w:rFonts w:ascii="Arial"/>
                <w:w w:val="91"/>
                <w:sz w:val="28"/>
              </w:rPr>
              <w:t>5</w:t>
            </w:r>
          </w:p>
        </w:tc>
        <w:tc>
          <w:tcPr>
            <w:tcW w:w="1274" w:type="dxa"/>
          </w:tcPr>
          <w:p>
            <w:pPr>
              <w:pStyle w:val="TableParagraph"/>
              <w:spacing w:line="317" w:lineRule="exact" w:before="3"/>
              <w:ind w:left="6"/>
              <w:jc w:val="center"/>
              <w:rPr>
                <w:rFonts w:ascii="Arial"/>
                <w:sz w:val="28"/>
              </w:rPr>
            </w:pPr>
            <w:r>
              <w:rPr>
                <w:rFonts w:ascii="Arial"/>
                <w:w w:val="91"/>
                <w:sz w:val="28"/>
              </w:rPr>
              <w:t>9</w:t>
            </w:r>
          </w:p>
        </w:tc>
        <w:tc>
          <w:tcPr>
            <w:tcW w:w="1267" w:type="dxa"/>
          </w:tcPr>
          <w:p>
            <w:pPr>
              <w:pStyle w:val="TableParagraph"/>
              <w:spacing w:line="317" w:lineRule="exact" w:before="3"/>
              <w:ind w:left="140" w:right="129"/>
              <w:jc w:val="center"/>
              <w:rPr>
                <w:rFonts w:ascii="Arial"/>
                <w:sz w:val="28"/>
              </w:rPr>
            </w:pPr>
            <w:r>
              <w:rPr>
                <w:rFonts w:ascii="Arial"/>
                <w:sz w:val="28"/>
              </w:rPr>
              <w:t>37</w:t>
            </w:r>
          </w:p>
        </w:tc>
        <w:tc>
          <w:tcPr>
            <w:tcW w:w="1252" w:type="dxa"/>
          </w:tcPr>
          <w:p>
            <w:pPr>
              <w:pStyle w:val="TableParagraph"/>
              <w:spacing w:line="317" w:lineRule="exact" w:before="3"/>
              <w:ind w:left="11"/>
              <w:jc w:val="center"/>
              <w:rPr>
                <w:rFonts w:ascii="Arial"/>
                <w:sz w:val="28"/>
              </w:rPr>
            </w:pPr>
            <w:r>
              <w:rPr>
                <w:rFonts w:ascii="Arial"/>
                <w:w w:val="91"/>
                <w:sz w:val="28"/>
              </w:rPr>
              <w:t>5</w:t>
            </w:r>
          </w:p>
        </w:tc>
        <w:tc>
          <w:tcPr>
            <w:tcW w:w="1320" w:type="dxa"/>
          </w:tcPr>
          <w:p>
            <w:pPr>
              <w:pStyle w:val="TableParagraph"/>
              <w:spacing w:line="317" w:lineRule="exact" w:before="3"/>
              <w:ind w:left="589"/>
              <w:rPr>
                <w:rFonts w:ascii="Arial"/>
                <w:sz w:val="28"/>
              </w:rPr>
            </w:pPr>
            <w:r>
              <w:rPr>
                <w:rFonts w:ascii="Arial"/>
                <w:w w:val="91"/>
                <w:sz w:val="28"/>
              </w:rPr>
              <w:t>0</w:t>
            </w:r>
          </w:p>
        </w:tc>
        <w:tc>
          <w:tcPr>
            <w:tcW w:w="847" w:type="dxa"/>
          </w:tcPr>
          <w:p>
            <w:pPr>
              <w:pStyle w:val="TableParagraph"/>
              <w:spacing w:line="317" w:lineRule="exact" w:before="3"/>
              <w:ind w:left="77" w:right="65"/>
              <w:jc w:val="center"/>
              <w:rPr>
                <w:rFonts w:ascii="Trebuchet MS"/>
                <w:b/>
                <w:sz w:val="28"/>
              </w:rPr>
            </w:pPr>
            <w:r>
              <w:rPr>
                <w:rFonts w:ascii="Trebuchet MS"/>
                <w:b/>
                <w:w w:val="95"/>
                <w:sz w:val="28"/>
              </w:rPr>
              <w:t>56</w:t>
            </w:r>
          </w:p>
        </w:tc>
      </w:tr>
      <w:tr>
        <w:trPr>
          <w:trHeight w:val="342" w:hRule="atLeast"/>
        </w:trPr>
        <w:tc>
          <w:tcPr>
            <w:tcW w:w="1322" w:type="dxa"/>
          </w:tcPr>
          <w:p>
            <w:pPr>
              <w:pStyle w:val="TableParagraph"/>
              <w:spacing w:line="319" w:lineRule="exact" w:before="3"/>
              <w:ind w:left="47" w:right="40"/>
              <w:jc w:val="center"/>
              <w:rPr>
                <w:rFonts w:ascii="Arial"/>
                <w:sz w:val="28"/>
              </w:rPr>
            </w:pPr>
            <w:r>
              <w:rPr>
                <w:rFonts w:ascii="Arial"/>
                <w:sz w:val="28"/>
              </w:rPr>
              <w:t>1970 - 79</w:t>
            </w:r>
          </w:p>
        </w:tc>
        <w:tc>
          <w:tcPr>
            <w:tcW w:w="1311" w:type="dxa"/>
          </w:tcPr>
          <w:p>
            <w:pPr>
              <w:pStyle w:val="TableParagraph"/>
              <w:spacing w:line="319" w:lineRule="exact" w:before="3"/>
              <w:ind w:left="7"/>
              <w:jc w:val="center"/>
              <w:rPr>
                <w:rFonts w:ascii="Arial"/>
                <w:sz w:val="28"/>
              </w:rPr>
            </w:pPr>
            <w:r>
              <w:rPr>
                <w:rFonts w:ascii="Arial"/>
                <w:w w:val="91"/>
                <w:sz w:val="28"/>
              </w:rPr>
              <w:t>4</w:t>
            </w:r>
          </w:p>
        </w:tc>
        <w:tc>
          <w:tcPr>
            <w:tcW w:w="1274" w:type="dxa"/>
          </w:tcPr>
          <w:p>
            <w:pPr>
              <w:pStyle w:val="TableParagraph"/>
              <w:spacing w:line="319" w:lineRule="exact" w:before="3"/>
              <w:ind w:left="6"/>
              <w:jc w:val="center"/>
              <w:rPr>
                <w:rFonts w:ascii="Arial"/>
                <w:sz w:val="28"/>
              </w:rPr>
            </w:pPr>
            <w:r>
              <w:rPr>
                <w:rFonts w:ascii="Arial"/>
                <w:w w:val="91"/>
                <w:sz w:val="28"/>
              </w:rPr>
              <w:t>8</w:t>
            </w:r>
          </w:p>
        </w:tc>
        <w:tc>
          <w:tcPr>
            <w:tcW w:w="1267" w:type="dxa"/>
          </w:tcPr>
          <w:p>
            <w:pPr>
              <w:pStyle w:val="TableParagraph"/>
              <w:spacing w:line="319" w:lineRule="exact" w:before="3"/>
              <w:ind w:left="140" w:right="129"/>
              <w:jc w:val="center"/>
              <w:rPr>
                <w:rFonts w:ascii="Arial"/>
                <w:sz w:val="28"/>
              </w:rPr>
            </w:pPr>
            <w:r>
              <w:rPr>
                <w:rFonts w:ascii="Arial"/>
                <w:sz w:val="28"/>
              </w:rPr>
              <w:t>39</w:t>
            </w:r>
          </w:p>
        </w:tc>
        <w:tc>
          <w:tcPr>
            <w:tcW w:w="1252" w:type="dxa"/>
          </w:tcPr>
          <w:p>
            <w:pPr>
              <w:pStyle w:val="TableParagraph"/>
              <w:spacing w:line="319" w:lineRule="exact" w:before="3"/>
              <w:ind w:left="11"/>
              <w:jc w:val="center"/>
              <w:rPr>
                <w:rFonts w:ascii="Arial"/>
                <w:sz w:val="28"/>
              </w:rPr>
            </w:pPr>
            <w:r>
              <w:rPr>
                <w:rFonts w:ascii="Arial"/>
                <w:w w:val="91"/>
                <w:sz w:val="28"/>
              </w:rPr>
              <w:t>0</w:t>
            </w:r>
          </w:p>
        </w:tc>
        <w:tc>
          <w:tcPr>
            <w:tcW w:w="1320" w:type="dxa"/>
          </w:tcPr>
          <w:p>
            <w:pPr>
              <w:pStyle w:val="TableParagraph"/>
              <w:spacing w:line="319" w:lineRule="exact" w:before="3"/>
              <w:ind w:left="589"/>
              <w:rPr>
                <w:rFonts w:ascii="Arial"/>
                <w:sz w:val="28"/>
              </w:rPr>
            </w:pPr>
            <w:r>
              <w:rPr>
                <w:rFonts w:ascii="Arial"/>
                <w:w w:val="91"/>
                <w:sz w:val="28"/>
              </w:rPr>
              <w:t>3</w:t>
            </w:r>
          </w:p>
        </w:tc>
        <w:tc>
          <w:tcPr>
            <w:tcW w:w="847" w:type="dxa"/>
          </w:tcPr>
          <w:p>
            <w:pPr>
              <w:pStyle w:val="TableParagraph"/>
              <w:spacing w:line="320" w:lineRule="exact" w:before="3"/>
              <w:ind w:left="77" w:right="65"/>
              <w:jc w:val="center"/>
              <w:rPr>
                <w:rFonts w:ascii="Trebuchet MS"/>
                <w:b/>
                <w:sz w:val="28"/>
              </w:rPr>
            </w:pPr>
            <w:r>
              <w:rPr>
                <w:rFonts w:ascii="Trebuchet MS"/>
                <w:b/>
                <w:w w:val="95"/>
                <w:sz w:val="28"/>
              </w:rPr>
              <w:t>54</w:t>
            </w:r>
          </w:p>
        </w:tc>
      </w:tr>
      <w:tr>
        <w:trPr>
          <w:trHeight w:val="340" w:hRule="atLeast"/>
        </w:trPr>
        <w:tc>
          <w:tcPr>
            <w:tcW w:w="1322" w:type="dxa"/>
          </w:tcPr>
          <w:p>
            <w:pPr>
              <w:pStyle w:val="TableParagraph"/>
              <w:spacing w:line="317" w:lineRule="exact" w:before="3"/>
              <w:ind w:left="47" w:right="40"/>
              <w:jc w:val="center"/>
              <w:rPr>
                <w:rFonts w:ascii="Arial"/>
                <w:sz w:val="28"/>
              </w:rPr>
            </w:pPr>
            <w:r>
              <w:rPr>
                <w:rFonts w:ascii="Arial"/>
                <w:sz w:val="28"/>
              </w:rPr>
              <w:t>1960 - 69</w:t>
            </w:r>
          </w:p>
        </w:tc>
        <w:tc>
          <w:tcPr>
            <w:tcW w:w="1311" w:type="dxa"/>
          </w:tcPr>
          <w:p>
            <w:pPr>
              <w:pStyle w:val="TableParagraph"/>
              <w:spacing w:line="317" w:lineRule="exact" w:before="3"/>
              <w:ind w:left="7"/>
              <w:jc w:val="center"/>
              <w:rPr>
                <w:rFonts w:ascii="Arial"/>
                <w:sz w:val="28"/>
              </w:rPr>
            </w:pPr>
            <w:r>
              <w:rPr>
                <w:rFonts w:ascii="Arial"/>
                <w:w w:val="91"/>
                <w:sz w:val="28"/>
              </w:rPr>
              <w:t>4</w:t>
            </w:r>
          </w:p>
        </w:tc>
        <w:tc>
          <w:tcPr>
            <w:tcW w:w="1274" w:type="dxa"/>
          </w:tcPr>
          <w:p>
            <w:pPr>
              <w:pStyle w:val="TableParagraph"/>
              <w:spacing w:line="317" w:lineRule="exact" w:before="3"/>
              <w:ind w:left="6"/>
              <w:jc w:val="center"/>
              <w:rPr>
                <w:rFonts w:ascii="Arial"/>
                <w:sz w:val="28"/>
              </w:rPr>
            </w:pPr>
            <w:r>
              <w:rPr>
                <w:rFonts w:ascii="Arial"/>
                <w:w w:val="91"/>
                <w:sz w:val="28"/>
              </w:rPr>
              <w:t>3</w:t>
            </w:r>
          </w:p>
        </w:tc>
        <w:tc>
          <w:tcPr>
            <w:tcW w:w="1267" w:type="dxa"/>
          </w:tcPr>
          <w:p>
            <w:pPr>
              <w:pStyle w:val="TableParagraph"/>
              <w:spacing w:line="317" w:lineRule="exact" w:before="3"/>
              <w:ind w:left="140" w:right="129"/>
              <w:jc w:val="center"/>
              <w:rPr>
                <w:rFonts w:ascii="Arial"/>
                <w:sz w:val="28"/>
              </w:rPr>
            </w:pPr>
            <w:r>
              <w:rPr>
                <w:rFonts w:ascii="Arial"/>
                <w:sz w:val="28"/>
              </w:rPr>
              <w:t>41</w:t>
            </w:r>
          </w:p>
        </w:tc>
        <w:tc>
          <w:tcPr>
            <w:tcW w:w="1252" w:type="dxa"/>
          </w:tcPr>
          <w:p>
            <w:pPr>
              <w:pStyle w:val="TableParagraph"/>
              <w:spacing w:line="317" w:lineRule="exact" w:before="3"/>
              <w:ind w:left="11"/>
              <w:jc w:val="center"/>
              <w:rPr>
                <w:rFonts w:ascii="Arial"/>
                <w:sz w:val="28"/>
              </w:rPr>
            </w:pPr>
            <w:r>
              <w:rPr>
                <w:rFonts w:ascii="Arial"/>
                <w:w w:val="91"/>
                <w:sz w:val="28"/>
              </w:rPr>
              <w:t>0</w:t>
            </w:r>
          </w:p>
        </w:tc>
        <w:tc>
          <w:tcPr>
            <w:tcW w:w="1320" w:type="dxa"/>
          </w:tcPr>
          <w:p>
            <w:pPr>
              <w:pStyle w:val="TableParagraph"/>
              <w:spacing w:line="317" w:lineRule="exact" w:before="3"/>
              <w:ind w:left="589"/>
              <w:rPr>
                <w:rFonts w:ascii="Arial"/>
                <w:sz w:val="28"/>
              </w:rPr>
            </w:pPr>
            <w:r>
              <w:rPr>
                <w:rFonts w:ascii="Arial"/>
                <w:w w:val="91"/>
                <w:sz w:val="28"/>
              </w:rPr>
              <w:t>2</w:t>
            </w:r>
          </w:p>
        </w:tc>
        <w:tc>
          <w:tcPr>
            <w:tcW w:w="847" w:type="dxa"/>
          </w:tcPr>
          <w:p>
            <w:pPr>
              <w:pStyle w:val="TableParagraph"/>
              <w:spacing w:line="317" w:lineRule="exact" w:before="3"/>
              <w:ind w:left="77" w:right="65"/>
              <w:jc w:val="center"/>
              <w:rPr>
                <w:rFonts w:ascii="Trebuchet MS"/>
                <w:b/>
                <w:sz w:val="28"/>
              </w:rPr>
            </w:pPr>
            <w:r>
              <w:rPr>
                <w:rFonts w:ascii="Trebuchet MS"/>
                <w:b/>
                <w:w w:val="95"/>
                <w:sz w:val="28"/>
              </w:rPr>
              <w:t>50</w:t>
            </w:r>
          </w:p>
        </w:tc>
      </w:tr>
      <w:tr>
        <w:trPr>
          <w:trHeight w:val="342" w:hRule="atLeast"/>
        </w:trPr>
        <w:tc>
          <w:tcPr>
            <w:tcW w:w="1322" w:type="dxa"/>
          </w:tcPr>
          <w:p>
            <w:pPr>
              <w:pStyle w:val="TableParagraph"/>
              <w:spacing w:line="319" w:lineRule="exact" w:before="3"/>
              <w:ind w:left="47" w:right="40"/>
              <w:jc w:val="center"/>
              <w:rPr>
                <w:rFonts w:ascii="Arial"/>
                <w:sz w:val="28"/>
              </w:rPr>
            </w:pPr>
            <w:r>
              <w:rPr>
                <w:rFonts w:ascii="Arial"/>
                <w:sz w:val="28"/>
              </w:rPr>
              <w:t>1950 - 59</w:t>
            </w:r>
          </w:p>
        </w:tc>
        <w:tc>
          <w:tcPr>
            <w:tcW w:w="1311" w:type="dxa"/>
          </w:tcPr>
          <w:p>
            <w:pPr>
              <w:pStyle w:val="TableParagraph"/>
              <w:spacing w:line="319" w:lineRule="exact" w:before="3"/>
              <w:ind w:left="7"/>
              <w:jc w:val="center"/>
              <w:rPr>
                <w:rFonts w:ascii="Arial"/>
                <w:sz w:val="28"/>
              </w:rPr>
            </w:pPr>
            <w:r>
              <w:rPr>
                <w:rFonts w:ascii="Arial"/>
                <w:w w:val="91"/>
                <w:sz w:val="28"/>
              </w:rPr>
              <w:t>0</w:t>
            </w:r>
          </w:p>
        </w:tc>
        <w:tc>
          <w:tcPr>
            <w:tcW w:w="1274" w:type="dxa"/>
          </w:tcPr>
          <w:p>
            <w:pPr>
              <w:pStyle w:val="TableParagraph"/>
              <w:spacing w:line="319" w:lineRule="exact" w:before="3"/>
              <w:ind w:left="6"/>
              <w:jc w:val="center"/>
              <w:rPr>
                <w:rFonts w:ascii="Arial"/>
                <w:sz w:val="28"/>
              </w:rPr>
            </w:pPr>
            <w:r>
              <w:rPr>
                <w:rFonts w:ascii="Arial"/>
                <w:w w:val="91"/>
                <w:sz w:val="28"/>
              </w:rPr>
              <w:t>0</w:t>
            </w:r>
          </w:p>
        </w:tc>
        <w:tc>
          <w:tcPr>
            <w:tcW w:w="1267" w:type="dxa"/>
          </w:tcPr>
          <w:p>
            <w:pPr>
              <w:pStyle w:val="TableParagraph"/>
              <w:spacing w:line="319" w:lineRule="exact" w:before="3"/>
              <w:ind w:left="9"/>
              <w:jc w:val="center"/>
              <w:rPr>
                <w:rFonts w:ascii="Arial"/>
                <w:sz w:val="28"/>
              </w:rPr>
            </w:pPr>
            <w:r>
              <w:rPr>
                <w:rFonts w:ascii="Arial"/>
                <w:w w:val="91"/>
                <w:sz w:val="28"/>
              </w:rPr>
              <w:t>7</w:t>
            </w:r>
          </w:p>
        </w:tc>
        <w:tc>
          <w:tcPr>
            <w:tcW w:w="1252" w:type="dxa"/>
          </w:tcPr>
          <w:p>
            <w:pPr>
              <w:pStyle w:val="TableParagraph"/>
              <w:spacing w:line="319" w:lineRule="exact" w:before="3"/>
              <w:ind w:left="11"/>
              <w:jc w:val="center"/>
              <w:rPr>
                <w:rFonts w:ascii="Arial"/>
                <w:sz w:val="28"/>
              </w:rPr>
            </w:pPr>
            <w:r>
              <w:rPr>
                <w:rFonts w:ascii="Arial"/>
                <w:w w:val="91"/>
                <w:sz w:val="28"/>
              </w:rPr>
              <w:t>0</w:t>
            </w:r>
          </w:p>
        </w:tc>
        <w:tc>
          <w:tcPr>
            <w:tcW w:w="1320" w:type="dxa"/>
          </w:tcPr>
          <w:p>
            <w:pPr>
              <w:pStyle w:val="TableParagraph"/>
              <w:spacing w:line="319" w:lineRule="exact" w:before="3"/>
              <w:ind w:left="589"/>
              <w:rPr>
                <w:rFonts w:ascii="Arial"/>
                <w:sz w:val="28"/>
              </w:rPr>
            </w:pPr>
            <w:r>
              <w:rPr>
                <w:rFonts w:ascii="Arial"/>
                <w:w w:val="91"/>
                <w:sz w:val="28"/>
              </w:rPr>
              <w:t>0</w:t>
            </w:r>
          </w:p>
        </w:tc>
        <w:tc>
          <w:tcPr>
            <w:tcW w:w="847" w:type="dxa"/>
          </w:tcPr>
          <w:p>
            <w:pPr>
              <w:pStyle w:val="TableParagraph"/>
              <w:spacing w:line="320" w:lineRule="exact" w:before="3"/>
              <w:ind w:left="15"/>
              <w:jc w:val="center"/>
              <w:rPr>
                <w:rFonts w:ascii="Trebuchet MS"/>
                <w:b/>
                <w:sz w:val="28"/>
              </w:rPr>
            </w:pPr>
            <w:r>
              <w:rPr>
                <w:rFonts w:ascii="Trebuchet MS"/>
                <w:b/>
                <w:w w:val="86"/>
                <w:sz w:val="28"/>
              </w:rPr>
              <w:t>7</w:t>
            </w:r>
          </w:p>
        </w:tc>
      </w:tr>
      <w:tr>
        <w:trPr>
          <w:trHeight w:val="340" w:hRule="atLeast"/>
        </w:trPr>
        <w:tc>
          <w:tcPr>
            <w:tcW w:w="1322" w:type="dxa"/>
          </w:tcPr>
          <w:p>
            <w:pPr>
              <w:pStyle w:val="TableParagraph"/>
              <w:spacing w:line="317" w:lineRule="exact" w:before="3"/>
              <w:ind w:left="47" w:right="40"/>
              <w:jc w:val="center"/>
              <w:rPr>
                <w:rFonts w:ascii="Arial"/>
                <w:sz w:val="28"/>
              </w:rPr>
            </w:pPr>
            <w:r>
              <w:rPr>
                <w:rFonts w:ascii="Arial"/>
                <w:sz w:val="28"/>
              </w:rPr>
              <w:t>1940 - 49</w:t>
            </w:r>
          </w:p>
        </w:tc>
        <w:tc>
          <w:tcPr>
            <w:tcW w:w="1311" w:type="dxa"/>
          </w:tcPr>
          <w:p>
            <w:pPr>
              <w:pStyle w:val="TableParagraph"/>
              <w:spacing w:line="317" w:lineRule="exact" w:before="3"/>
              <w:ind w:left="7"/>
              <w:jc w:val="center"/>
              <w:rPr>
                <w:rFonts w:ascii="Arial"/>
                <w:sz w:val="28"/>
              </w:rPr>
            </w:pPr>
            <w:r>
              <w:rPr>
                <w:rFonts w:ascii="Arial"/>
                <w:w w:val="91"/>
                <w:sz w:val="28"/>
              </w:rPr>
              <w:t>1</w:t>
            </w:r>
          </w:p>
        </w:tc>
        <w:tc>
          <w:tcPr>
            <w:tcW w:w="1274" w:type="dxa"/>
          </w:tcPr>
          <w:p>
            <w:pPr>
              <w:pStyle w:val="TableParagraph"/>
              <w:spacing w:line="317" w:lineRule="exact" w:before="3"/>
              <w:ind w:left="6"/>
              <w:jc w:val="center"/>
              <w:rPr>
                <w:rFonts w:ascii="Arial"/>
                <w:sz w:val="28"/>
              </w:rPr>
            </w:pPr>
            <w:r>
              <w:rPr>
                <w:rFonts w:ascii="Arial"/>
                <w:w w:val="91"/>
                <w:sz w:val="28"/>
              </w:rPr>
              <w:t>1</w:t>
            </w:r>
          </w:p>
        </w:tc>
        <w:tc>
          <w:tcPr>
            <w:tcW w:w="1267" w:type="dxa"/>
          </w:tcPr>
          <w:p>
            <w:pPr>
              <w:pStyle w:val="TableParagraph"/>
              <w:spacing w:line="317" w:lineRule="exact" w:before="3"/>
              <w:ind w:left="9"/>
              <w:jc w:val="center"/>
              <w:rPr>
                <w:rFonts w:ascii="Arial"/>
                <w:sz w:val="28"/>
              </w:rPr>
            </w:pPr>
            <w:r>
              <w:rPr>
                <w:rFonts w:ascii="Arial"/>
                <w:w w:val="91"/>
                <w:sz w:val="28"/>
              </w:rPr>
              <w:t>5</w:t>
            </w:r>
          </w:p>
        </w:tc>
        <w:tc>
          <w:tcPr>
            <w:tcW w:w="1252" w:type="dxa"/>
          </w:tcPr>
          <w:p>
            <w:pPr>
              <w:pStyle w:val="TableParagraph"/>
              <w:spacing w:line="317" w:lineRule="exact" w:before="3"/>
              <w:ind w:left="11"/>
              <w:jc w:val="center"/>
              <w:rPr>
                <w:rFonts w:ascii="Arial"/>
                <w:sz w:val="28"/>
              </w:rPr>
            </w:pPr>
            <w:r>
              <w:rPr>
                <w:rFonts w:ascii="Arial"/>
                <w:w w:val="91"/>
                <w:sz w:val="28"/>
              </w:rPr>
              <w:t>0</w:t>
            </w:r>
          </w:p>
        </w:tc>
        <w:tc>
          <w:tcPr>
            <w:tcW w:w="1320" w:type="dxa"/>
          </w:tcPr>
          <w:p>
            <w:pPr>
              <w:pStyle w:val="TableParagraph"/>
              <w:spacing w:line="317" w:lineRule="exact" w:before="3"/>
              <w:ind w:left="589"/>
              <w:rPr>
                <w:rFonts w:ascii="Arial"/>
                <w:sz w:val="28"/>
              </w:rPr>
            </w:pPr>
            <w:r>
              <w:rPr>
                <w:rFonts w:ascii="Arial"/>
                <w:w w:val="91"/>
                <w:sz w:val="28"/>
              </w:rPr>
              <w:t>0</w:t>
            </w:r>
          </w:p>
        </w:tc>
        <w:tc>
          <w:tcPr>
            <w:tcW w:w="847" w:type="dxa"/>
          </w:tcPr>
          <w:p>
            <w:pPr>
              <w:pStyle w:val="TableParagraph"/>
              <w:spacing w:line="317" w:lineRule="exact" w:before="3"/>
              <w:ind w:left="15"/>
              <w:jc w:val="center"/>
              <w:rPr>
                <w:rFonts w:ascii="Trebuchet MS"/>
                <w:b/>
                <w:sz w:val="28"/>
              </w:rPr>
            </w:pPr>
            <w:r>
              <w:rPr>
                <w:rFonts w:ascii="Trebuchet MS"/>
                <w:b/>
                <w:w w:val="86"/>
                <w:sz w:val="28"/>
              </w:rPr>
              <w:t>7</w:t>
            </w:r>
          </w:p>
        </w:tc>
      </w:tr>
      <w:tr>
        <w:trPr>
          <w:trHeight w:val="342" w:hRule="atLeast"/>
        </w:trPr>
        <w:tc>
          <w:tcPr>
            <w:tcW w:w="1322" w:type="dxa"/>
          </w:tcPr>
          <w:p>
            <w:pPr>
              <w:pStyle w:val="TableParagraph"/>
              <w:spacing w:line="317" w:lineRule="exact" w:before="6"/>
              <w:ind w:left="47" w:right="40"/>
              <w:jc w:val="center"/>
              <w:rPr>
                <w:rFonts w:ascii="Arial"/>
                <w:sz w:val="28"/>
              </w:rPr>
            </w:pPr>
            <w:r>
              <w:rPr>
                <w:rFonts w:ascii="Arial"/>
                <w:sz w:val="28"/>
              </w:rPr>
              <w:t>1930 - 39</w:t>
            </w:r>
          </w:p>
        </w:tc>
        <w:tc>
          <w:tcPr>
            <w:tcW w:w="1311" w:type="dxa"/>
          </w:tcPr>
          <w:p>
            <w:pPr>
              <w:pStyle w:val="TableParagraph"/>
              <w:spacing w:line="317" w:lineRule="exact" w:before="6"/>
              <w:ind w:left="7"/>
              <w:jc w:val="center"/>
              <w:rPr>
                <w:rFonts w:ascii="Arial"/>
                <w:sz w:val="28"/>
              </w:rPr>
            </w:pPr>
            <w:r>
              <w:rPr>
                <w:rFonts w:ascii="Arial"/>
                <w:w w:val="91"/>
                <w:sz w:val="28"/>
              </w:rPr>
              <w:t>0</w:t>
            </w:r>
          </w:p>
        </w:tc>
        <w:tc>
          <w:tcPr>
            <w:tcW w:w="1274" w:type="dxa"/>
          </w:tcPr>
          <w:p>
            <w:pPr>
              <w:pStyle w:val="TableParagraph"/>
              <w:spacing w:line="317" w:lineRule="exact" w:before="6"/>
              <w:ind w:left="6"/>
              <w:jc w:val="center"/>
              <w:rPr>
                <w:rFonts w:ascii="Arial"/>
                <w:sz w:val="28"/>
              </w:rPr>
            </w:pPr>
            <w:r>
              <w:rPr>
                <w:rFonts w:ascii="Arial"/>
                <w:w w:val="91"/>
                <w:sz w:val="28"/>
              </w:rPr>
              <w:t>0</w:t>
            </w:r>
          </w:p>
        </w:tc>
        <w:tc>
          <w:tcPr>
            <w:tcW w:w="1267" w:type="dxa"/>
          </w:tcPr>
          <w:p>
            <w:pPr>
              <w:pStyle w:val="TableParagraph"/>
              <w:spacing w:line="317" w:lineRule="exact" w:before="6"/>
              <w:ind w:left="9"/>
              <w:jc w:val="center"/>
              <w:rPr>
                <w:rFonts w:ascii="Arial"/>
                <w:sz w:val="28"/>
              </w:rPr>
            </w:pPr>
            <w:r>
              <w:rPr>
                <w:rFonts w:ascii="Arial"/>
                <w:w w:val="91"/>
                <w:sz w:val="28"/>
              </w:rPr>
              <w:t>2</w:t>
            </w:r>
          </w:p>
        </w:tc>
        <w:tc>
          <w:tcPr>
            <w:tcW w:w="1252" w:type="dxa"/>
          </w:tcPr>
          <w:p>
            <w:pPr>
              <w:pStyle w:val="TableParagraph"/>
              <w:spacing w:line="317" w:lineRule="exact" w:before="6"/>
              <w:ind w:left="11"/>
              <w:jc w:val="center"/>
              <w:rPr>
                <w:rFonts w:ascii="Arial"/>
                <w:sz w:val="28"/>
              </w:rPr>
            </w:pPr>
            <w:r>
              <w:rPr>
                <w:rFonts w:ascii="Arial"/>
                <w:w w:val="91"/>
                <w:sz w:val="28"/>
              </w:rPr>
              <w:t>0</w:t>
            </w:r>
          </w:p>
        </w:tc>
        <w:tc>
          <w:tcPr>
            <w:tcW w:w="1320" w:type="dxa"/>
          </w:tcPr>
          <w:p>
            <w:pPr>
              <w:pStyle w:val="TableParagraph"/>
              <w:spacing w:line="317" w:lineRule="exact" w:before="6"/>
              <w:ind w:left="589"/>
              <w:rPr>
                <w:rFonts w:ascii="Arial"/>
                <w:sz w:val="28"/>
              </w:rPr>
            </w:pPr>
            <w:r>
              <w:rPr>
                <w:rFonts w:ascii="Arial"/>
                <w:w w:val="91"/>
                <w:sz w:val="28"/>
              </w:rPr>
              <w:t>0</w:t>
            </w:r>
          </w:p>
        </w:tc>
        <w:tc>
          <w:tcPr>
            <w:tcW w:w="847" w:type="dxa"/>
          </w:tcPr>
          <w:p>
            <w:pPr>
              <w:pStyle w:val="TableParagraph"/>
              <w:spacing w:line="317" w:lineRule="exact" w:before="5"/>
              <w:ind w:left="15"/>
              <w:jc w:val="center"/>
              <w:rPr>
                <w:rFonts w:ascii="Trebuchet MS"/>
                <w:b/>
                <w:sz w:val="28"/>
              </w:rPr>
            </w:pPr>
            <w:r>
              <w:rPr>
                <w:rFonts w:ascii="Trebuchet MS"/>
                <w:b/>
                <w:w w:val="86"/>
                <w:sz w:val="28"/>
              </w:rPr>
              <w:t>2</w:t>
            </w:r>
          </w:p>
        </w:tc>
      </w:tr>
      <w:tr>
        <w:trPr>
          <w:trHeight w:val="342" w:hRule="atLeast"/>
        </w:trPr>
        <w:tc>
          <w:tcPr>
            <w:tcW w:w="1322" w:type="dxa"/>
          </w:tcPr>
          <w:p>
            <w:pPr>
              <w:pStyle w:val="TableParagraph"/>
              <w:spacing w:line="319" w:lineRule="exact" w:before="3"/>
              <w:ind w:left="47" w:right="40"/>
              <w:jc w:val="center"/>
              <w:rPr>
                <w:rFonts w:ascii="Arial"/>
                <w:sz w:val="28"/>
              </w:rPr>
            </w:pPr>
            <w:r>
              <w:rPr>
                <w:rFonts w:ascii="Arial"/>
                <w:sz w:val="28"/>
              </w:rPr>
              <w:t>1920 - 29</w:t>
            </w:r>
          </w:p>
        </w:tc>
        <w:tc>
          <w:tcPr>
            <w:tcW w:w="1311" w:type="dxa"/>
          </w:tcPr>
          <w:p>
            <w:pPr>
              <w:pStyle w:val="TableParagraph"/>
              <w:spacing w:line="319" w:lineRule="exact" w:before="3"/>
              <w:ind w:left="7"/>
              <w:jc w:val="center"/>
              <w:rPr>
                <w:rFonts w:ascii="Arial"/>
                <w:sz w:val="28"/>
              </w:rPr>
            </w:pPr>
            <w:r>
              <w:rPr>
                <w:rFonts w:ascii="Arial"/>
                <w:w w:val="91"/>
                <w:sz w:val="28"/>
              </w:rPr>
              <w:t>1</w:t>
            </w:r>
          </w:p>
        </w:tc>
        <w:tc>
          <w:tcPr>
            <w:tcW w:w="1274" w:type="dxa"/>
          </w:tcPr>
          <w:p>
            <w:pPr>
              <w:pStyle w:val="TableParagraph"/>
              <w:spacing w:line="319" w:lineRule="exact" w:before="3"/>
              <w:ind w:left="6"/>
              <w:jc w:val="center"/>
              <w:rPr>
                <w:rFonts w:ascii="Arial"/>
                <w:sz w:val="28"/>
              </w:rPr>
            </w:pPr>
            <w:r>
              <w:rPr>
                <w:rFonts w:ascii="Arial"/>
                <w:w w:val="91"/>
                <w:sz w:val="28"/>
              </w:rPr>
              <w:t>0</w:t>
            </w:r>
          </w:p>
        </w:tc>
        <w:tc>
          <w:tcPr>
            <w:tcW w:w="1267" w:type="dxa"/>
          </w:tcPr>
          <w:p>
            <w:pPr>
              <w:pStyle w:val="TableParagraph"/>
              <w:spacing w:line="319" w:lineRule="exact" w:before="3"/>
              <w:ind w:left="9"/>
              <w:jc w:val="center"/>
              <w:rPr>
                <w:rFonts w:ascii="Arial"/>
                <w:sz w:val="28"/>
              </w:rPr>
            </w:pPr>
            <w:r>
              <w:rPr>
                <w:rFonts w:ascii="Arial"/>
                <w:w w:val="91"/>
                <w:sz w:val="28"/>
              </w:rPr>
              <w:t>0</w:t>
            </w:r>
          </w:p>
        </w:tc>
        <w:tc>
          <w:tcPr>
            <w:tcW w:w="1252" w:type="dxa"/>
          </w:tcPr>
          <w:p>
            <w:pPr>
              <w:pStyle w:val="TableParagraph"/>
              <w:spacing w:line="319" w:lineRule="exact" w:before="3"/>
              <w:ind w:left="11"/>
              <w:jc w:val="center"/>
              <w:rPr>
                <w:rFonts w:ascii="Arial"/>
                <w:sz w:val="28"/>
              </w:rPr>
            </w:pPr>
            <w:r>
              <w:rPr>
                <w:rFonts w:ascii="Arial"/>
                <w:w w:val="91"/>
                <w:sz w:val="28"/>
              </w:rPr>
              <w:t>0</w:t>
            </w:r>
          </w:p>
        </w:tc>
        <w:tc>
          <w:tcPr>
            <w:tcW w:w="1320" w:type="dxa"/>
          </w:tcPr>
          <w:p>
            <w:pPr>
              <w:pStyle w:val="TableParagraph"/>
              <w:spacing w:line="319" w:lineRule="exact" w:before="3"/>
              <w:ind w:left="589"/>
              <w:rPr>
                <w:rFonts w:ascii="Arial"/>
                <w:sz w:val="28"/>
              </w:rPr>
            </w:pPr>
            <w:r>
              <w:rPr>
                <w:rFonts w:ascii="Arial"/>
                <w:w w:val="91"/>
                <w:sz w:val="28"/>
              </w:rPr>
              <w:t>0</w:t>
            </w:r>
          </w:p>
        </w:tc>
        <w:tc>
          <w:tcPr>
            <w:tcW w:w="847" w:type="dxa"/>
          </w:tcPr>
          <w:p>
            <w:pPr>
              <w:pStyle w:val="TableParagraph"/>
              <w:spacing w:line="320" w:lineRule="exact" w:before="3"/>
              <w:ind w:left="15"/>
              <w:jc w:val="center"/>
              <w:rPr>
                <w:rFonts w:ascii="Trebuchet MS"/>
                <w:b/>
                <w:sz w:val="28"/>
              </w:rPr>
            </w:pPr>
            <w:r>
              <w:rPr>
                <w:rFonts w:ascii="Trebuchet MS"/>
                <w:b/>
                <w:w w:val="86"/>
                <w:sz w:val="28"/>
              </w:rPr>
              <w:t>1</w:t>
            </w:r>
          </w:p>
        </w:tc>
      </w:tr>
      <w:tr>
        <w:trPr>
          <w:trHeight w:val="340" w:hRule="atLeast"/>
        </w:trPr>
        <w:tc>
          <w:tcPr>
            <w:tcW w:w="1322" w:type="dxa"/>
          </w:tcPr>
          <w:p>
            <w:pPr>
              <w:pStyle w:val="TableParagraph"/>
              <w:spacing w:line="317" w:lineRule="exact" w:before="3"/>
              <w:ind w:left="47" w:right="40"/>
              <w:jc w:val="center"/>
              <w:rPr>
                <w:rFonts w:ascii="Arial"/>
                <w:sz w:val="28"/>
              </w:rPr>
            </w:pPr>
            <w:r>
              <w:rPr>
                <w:rFonts w:ascii="Arial"/>
                <w:sz w:val="28"/>
              </w:rPr>
              <w:t>1910 - 19</w:t>
            </w:r>
          </w:p>
        </w:tc>
        <w:tc>
          <w:tcPr>
            <w:tcW w:w="1311" w:type="dxa"/>
          </w:tcPr>
          <w:p>
            <w:pPr>
              <w:pStyle w:val="TableParagraph"/>
              <w:spacing w:line="317" w:lineRule="exact" w:before="3"/>
              <w:ind w:left="7"/>
              <w:jc w:val="center"/>
              <w:rPr>
                <w:rFonts w:ascii="Arial"/>
                <w:sz w:val="28"/>
              </w:rPr>
            </w:pPr>
            <w:r>
              <w:rPr>
                <w:rFonts w:ascii="Arial"/>
                <w:w w:val="91"/>
                <w:sz w:val="28"/>
              </w:rPr>
              <w:t>0</w:t>
            </w:r>
          </w:p>
        </w:tc>
        <w:tc>
          <w:tcPr>
            <w:tcW w:w="1274" w:type="dxa"/>
          </w:tcPr>
          <w:p>
            <w:pPr>
              <w:pStyle w:val="TableParagraph"/>
              <w:spacing w:line="317" w:lineRule="exact" w:before="3"/>
              <w:ind w:left="6"/>
              <w:jc w:val="center"/>
              <w:rPr>
                <w:rFonts w:ascii="Arial"/>
                <w:sz w:val="28"/>
              </w:rPr>
            </w:pPr>
            <w:r>
              <w:rPr>
                <w:rFonts w:ascii="Arial"/>
                <w:w w:val="91"/>
                <w:sz w:val="28"/>
              </w:rPr>
              <w:t>1</w:t>
            </w:r>
          </w:p>
        </w:tc>
        <w:tc>
          <w:tcPr>
            <w:tcW w:w="1267" w:type="dxa"/>
          </w:tcPr>
          <w:p>
            <w:pPr>
              <w:pStyle w:val="TableParagraph"/>
              <w:spacing w:line="317" w:lineRule="exact" w:before="3"/>
              <w:ind w:left="9"/>
              <w:jc w:val="center"/>
              <w:rPr>
                <w:rFonts w:ascii="Arial"/>
                <w:sz w:val="28"/>
              </w:rPr>
            </w:pPr>
            <w:r>
              <w:rPr>
                <w:rFonts w:ascii="Arial"/>
                <w:w w:val="91"/>
                <w:sz w:val="28"/>
              </w:rPr>
              <w:t>1</w:t>
            </w:r>
          </w:p>
        </w:tc>
        <w:tc>
          <w:tcPr>
            <w:tcW w:w="1252" w:type="dxa"/>
          </w:tcPr>
          <w:p>
            <w:pPr>
              <w:pStyle w:val="TableParagraph"/>
              <w:spacing w:line="317" w:lineRule="exact" w:before="3"/>
              <w:ind w:left="11"/>
              <w:jc w:val="center"/>
              <w:rPr>
                <w:rFonts w:ascii="Arial"/>
                <w:sz w:val="28"/>
              </w:rPr>
            </w:pPr>
            <w:r>
              <w:rPr>
                <w:rFonts w:ascii="Arial"/>
                <w:w w:val="91"/>
                <w:sz w:val="28"/>
              </w:rPr>
              <w:t>0</w:t>
            </w:r>
          </w:p>
        </w:tc>
        <w:tc>
          <w:tcPr>
            <w:tcW w:w="1320" w:type="dxa"/>
          </w:tcPr>
          <w:p>
            <w:pPr>
              <w:pStyle w:val="TableParagraph"/>
              <w:spacing w:line="317" w:lineRule="exact" w:before="3"/>
              <w:ind w:left="589"/>
              <w:rPr>
                <w:rFonts w:ascii="Arial"/>
                <w:sz w:val="28"/>
              </w:rPr>
            </w:pPr>
            <w:r>
              <w:rPr>
                <w:rFonts w:ascii="Arial"/>
                <w:w w:val="91"/>
                <w:sz w:val="28"/>
              </w:rPr>
              <w:t>0</w:t>
            </w:r>
          </w:p>
        </w:tc>
        <w:tc>
          <w:tcPr>
            <w:tcW w:w="847" w:type="dxa"/>
          </w:tcPr>
          <w:p>
            <w:pPr>
              <w:pStyle w:val="TableParagraph"/>
              <w:spacing w:line="317" w:lineRule="exact" w:before="3"/>
              <w:ind w:left="15"/>
              <w:jc w:val="center"/>
              <w:rPr>
                <w:rFonts w:ascii="Trebuchet MS"/>
                <w:b/>
                <w:sz w:val="28"/>
              </w:rPr>
            </w:pPr>
            <w:r>
              <w:rPr>
                <w:rFonts w:ascii="Trebuchet MS"/>
                <w:b/>
                <w:w w:val="86"/>
                <w:sz w:val="28"/>
              </w:rPr>
              <w:t>2</w:t>
            </w:r>
          </w:p>
        </w:tc>
      </w:tr>
      <w:tr>
        <w:trPr>
          <w:trHeight w:val="343" w:hRule="atLeast"/>
        </w:trPr>
        <w:tc>
          <w:tcPr>
            <w:tcW w:w="1322" w:type="dxa"/>
          </w:tcPr>
          <w:p>
            <w:pPr>
              <w:pStyle w:val="TableParagraph"/>
              <w:spacing w:line="319" w:lineRule="exact" w:before="4"/>
              <w:ind w:left="47" w:right="40"/>
              <w:jc w:val="center"/>
              <w:rPr>
                <w:rFonts w:ascii="Arial"/>
                <w:sz w:val="28"/>
              </w:rPr>
            </w:pPr>
            <w:r>
              <w:rPr>
                <w:rFonts w:ascii="Arial"/>
                <w:sz w:val="28"/>
              </w:rPr>
              <w:t>1900 - 09</w:t>
            </w:r>
          </w:p>
        </w:tc>
        <w:tc>
          <w:tcPr>
            <w:tcW w:w="1311" w:type="dxa"/>
          </w:tcPr>
          <w:p>
            <w:pPr>
              <w:pStyle w:val="TableParagraph"/>
              <w:spacing w:line="319" w:lineRule="exact" w:before="4"/>
              <w:ind w:left="4"/>
              <w:jc w:val="center"/>
              <w:rPr>
                <w:rFonts w:ascii="Arial"/>
                <w:sz w:val="28"/>
              </w:rPr>
            </w:pPr>
            <w:r>
              <w:rPr>
                <w:rFonts w:ascii="Arial"/>
                <w:w w:val="92"/>
                <w:sz w:val="28"/>
              </w:rPr>
              <w:t>-</w:t>
            </w:r>
          </w:p>
        </w:tc>
        <w:tc>
          <w:tcPr>
            <w:tcW w:w="1274" w:type="dxa"/>
          </w:tcPr>
          <w:p>
            <w:pPr>
              <w:pStyle w:val="TableParagraph"/>
              <w:spacing w:line="319" w:lineRule="exact" w:before="4"/>
              <w:ind w:left="7"/>
              <w:jc w:val="center"/>
              <w:rPr>
                <w:rFonts w:ascii="Arial"/>
                <w:sz w:val="28"/>
              </w:rPr>
            </w:pPr>
            <w:r>
              <w:rPr>
                <w:rFonts w:ascii="Arial"/>
                <w:w w:val="92"/>
                <w:sz w:val="28"/>
              </w:rPr>
              <w:t>-</w:t>
            </w:r>
          </w:p>
        </w:tc>
        <w:tc>
          <w:tcPr>
            <w:tcW w:w="1267" w:type="dxa"/>
          </w:tcPr>
          <w:p>
            <w:pPr>
              <w:pStyle w:val="TableParagraph"/>
              <w:spacing w:line="319" w:lineRule="exact" w:before="4"/>
              <w:ind w:left="10"/>
              <w:jc w:val="center"/>
              <w:rPr>
                <w:rFonts w:ascii="Arial"/>
                <w:sz w:val="28"/>
              </w:rPr>
            </w:pPr>
            <w:r>
              <w:rPr>
                <w:rFonts w:ascii="Arial"/>
                <w:w w:val="92"/>
                <w:sz w:val="28"/>
              </w:rPr>
              <w:t>-</w:t>
            </w:r>
          </w:p>
        </w:tc>
        <w:tc>
          <w:tcPr>
            <w:tcW w:w="1252" w:type="dxa"/>
          </w:tcPr>
          <w:p>
            <w:pPr>
              <w:pStyle w:val="TableParagraph"/>
              <w:spacing w:line="319" w:lineRule="exact" w:before="4"/>
              <w:ind w:left="12"/>
              <w:jc w:val="center"/>
              <w:rPr>
                <w:rFonts w:ascii="Arial"/>
                <w:sz w:val="28"/>
              </w:rPr>
            </w:pPr>
            <w:r>
              <w:rPr>
                <w:rFonts w:ascii="Arial"/>
                <w:w w:val="92"/>
                <w:sz w:val="28"/>
              </w:rPr>
              <w:t>-</w:t>
            </w:r>
          </w:p>
        </w:tc>
        <w:tc>
          <w:tcPr>
            <w:tcW w:w="1320" w:type="dxa"/>
          </w:tcPr>
          <w:p>
            <w:pPr>
              <w:pStyle w:val="TableParagraph"/>
              <w:spacing w:line="319" w:lineRule="exact" w:before="4"/>
              <w:ind w:left="618"/>
              <w:rPr>
                <w:rFonts w:ascii="Arial"/>
                <w:sz w:val="28"/>
              </w:rPr>
            </w:pPr>
            <w:r>
              <w:rPr>
                <w:rFonts w:ascii="Arial"/>
                <w:w w:val="92"/>
                <w:sz w:val="28"/>
              </w:rPr>
              <w:t>-</w:t>
            </w:r>
          </w:p>
        </w:tc>
        <w:tc>
          <w:tcPr>
            <w:tcW w:w="847" w:type="dxa"/>
          </w:tcPr>
          <w:p>
            <w:pPr>
              <w:pStyle w:val="TableParagraph"/>
              <w:spacing w:line="320" w:lineRule="exact" w:before="3"/>
              <w:ind w:left="12"/>
              <w:jc w:val="center"/>
              <w:rPr>
                <w:rFonts w:ascii="Trebuchet MS"/>
                <w:b/>
                <w:sz w:val="28"/>
              </w:rPr>
            </w:pPr>
            <w:r>
              <w:rPr>
                <w:rFonts w:ascii="Trebuchet MS"/>
                <w:b/>
                <w:w w:val="83"/>
                <w:sz w:val="28"/>
              </w:rPr>
              <w:t>-</w:t>
            </w:r>
          </w:p>
        </w:tc>
      </w:tr>
      <w:tr>
        <w:trPr>
          <w:trHeight w:val="342" w:hRule="atLeast"/>
        </w:trPr>
        <w:tc>
          <w:tcPr>
            <w:tcW w:w="1322" w:type="dxa"/>
            <w:shd w:val="clear" w:color="auto" w:fill="BCD5ED"/>
          </w:tcPr>
          <w:p>
            <w:pPr>
              <w:pStyle w:val="TableParagraph"/>
              <w:rPr>
                <w:sz w:val="24"/>
              </w:rPr>
            </w:pPr>
          </w:p>
        </w:tc>
        <w:tc>
          <w:tcPr>
            <w:tcW w:w="1311" w:type="dxa"/>
            <w:shd w:val="clear" w:color="auto" w:fill="BCD5ED"/>
          </w:tcPr>
          <w:p>
            <w:pPr>
              <w:pStyle w:val="TableParagraph"/>
              <w:spacing w:line="319" w:lineRule="exact" w:before="3"/>
              <w:ind w:left="93" w:right="89"/>
              <w:jc w:val="center"/>
              <w:rPr>
                <w:rFonts w:ascii="Arial"/>
                <w:sz w:val="28"/>
              </w:rPr>
            </w:pPr>
            <w:r>
              <w:rPr>
                <w:rFonts w:ascii="Arial"/>
                <w:sz w:val="28"/>
              </w:rPr>
              <w:t>40</w:t>
            </w:r>
          </w:p>
        </w:tc>
        <w:tc>
          <w:tcPr>
            <w:tcW w:w="1274" w:type="dxa"/>
            <w:shd w:val="clear" w:color="auto" w:fill="BCD5ED"/>
          </w:tcPr>
          <w:p>
            <w:pPr>
              <w:pStyle w:val="TableParagraph"/>
              <w:spacing w:line="319" w:lineRule="exact" w:before="3"/>
              <w:ind w:left="460" w:right="452"/>
              <w:jc w:val="center"/>
              <w:rPr>
                <w:rFonts w:ascii="Arial"/>
                <w:sz w:val="28"/>
              </w:rPr>
            </w:pPr>
            <w:r>
              <w:rPr>
                <w:rFonts w:ascii="Arial"/>
                <w:sz w:val="28"/>
              </w:rPr>
              <w:t>44</w:t>
            </w:r>
          </w:p>
        </w:tc>
        <w:tc>
          <w:tcPr>
            <w:tcW w:w="1267" w:type="dxa"/>
            <w:shd w:val="clear" w:color="auto" w:fill="BCD5ED"/>
          </w:tcPr>
          <w:p>
            <w:pPr>
              <w:pStyle w:val="TableParagraph"/>
              <w:spacing w:line="319" w:lineRule="exact" w:before="3"/>
              <w:ind w:left="137" w:right="129"/>
              <w:jc w:val="center"/>
              <w:rPr>
                <w:rFonts w:ascii="Arial"/>
                <w:sz w:val="28"/>
              </w:rPr>
            </w:pPr>
            <w:r>
              <w:rPr>
                <w:rFonts w:ascii="Arial"/>
                <w:sz w:val="28"/>
              </w:rPr>
              <w:t>173</w:t>
            </w:r>
          </w:p>
        </w:tc>
        <w:tc>
          <w:tcPr>
            <w:tcW w:w="1252" w:type="dxa"/>
            <w:shd w:val="clear" w:color="auto" w:fill="BCD5ED"/>
          </w:tcPr>
          <w:p>
            <w:pPr>
              <w:pStyle w:val="TableParagraph"/>
              <w:spacing w:line="319" w:lineRule="exact" w:before="3"/>
              <w:ind w:left="11"/>
              <w:jc w:val="center"/>
              <w:rPr>
                <w:rFonts w:ascii="Arial"/>
                <w:sz w:val="28"/>
              </w:rPr>
            </w:pPr>
            <w:r>
              <w:rPr>
                <w:rFonts w:ascii="Arial"/>
                <w:w w:val="91"/>
                <w:sz w:val="28"/>
              </w:rPr>
              <w:t>8</w:t>
            </w:r>
          </w:p>
        </w:tc>
        <w:tc>
          <w:tcPr>
            <w:tcW w:w="1320" w:type="dxa"/>
            <w:shd w:val="clear" w:color="auto" w:fill="BCD5ED"/>
          </w:tcPr>
          <w:p>
            <w:pPr>
              <w:pStyle w:val="TableParagraph"/>
              <w:spacing w:line="319" w:lineRule="exact" w:before="3"/>
              <w:ind w:left="589"/>
              <w:rPr>
                <w:rFonts w:ascii="Arial"/>
                <w:sz w:val="28"/>
              </w:rPr>
            </w:pPr>
            <w:r>
              <w:rPr>
                <w:rFonts w:ascii="Arial"/>
                <w:w w:val="91"/>
                <w:sz w:val="28"/>
              </w:rPr>
              <w:t>7</w:t>
            </w:r>
          </w:p>
        </w:tc>
        <w:tc>
          <w:tcPr>
            <w:tcW w:w="847" w:type="dxa"/>
            <w:shd w:val="clear" w:color="auto" w:fill="BCD5ED"/>
          </w:tcPr>
          <w:p>
            <w:pPr>
              <w:pStyle w:val="TableParagraph"/>
              <w:spacing w:line="320" w:lineRule="exact" w:before="3"/>
              <w:ind w:left="80" w:right="65"/>
              <w:jc w:val="center"/>
              <w:rPr>
                <w:rFonts w:ascii="Trebuchet MS"/>
                <w:b/>
                <w:sz w:val="28"/>
              </w:rPr>
            </w:pPr>
            <w:r>
              <w:rPr>
                <w:rFonts w:ascii="Trebuchet MS"/>
                <w:b/>
                <w:w w:val="95"/>
                <w:sz w:val="28"/>
              </w:rPr>
              <w:t>272</w:t>
            </w:r>
          </w:p>
        </w:tc>
      </w:tr>
    </w:tbl>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4"/>
        <w:rPr>
          <w:rFonts w:ascii="Arial"/>
          <w:sz w:val="18"/>
        </w:rPr>
      </w:pPr>
    </w:p>
    <w:p>
      <w:pPr>
        <w:pStyle w:val="BodyText"/>
        <w:spacing w:line="360" w:lineRule="auto" w:before="90"/>
        <w:ind w:left="1702" w:right="1817"/>
      </w:pPr>
      <w:r>
        <w:rPr/>
        <w:t>Neste cenário, vejamos no próximo quadro um histórico das rupturas de barragens que ganharam maior destaque no mundo e no Brasil:</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
        <w:rPr>
          <w:sz w:val="28"/>
        </w:rPr>
      </w:pPr>
      <w:r>
        <w:rPr/>
        <w:pict>
          <v:shape style="position:absolute;margin-left:475.660004pt;margin-top:17.856997pt;width:40.450pt;height:55.95pt;mso-position-horizontal-relative:page;mso-position-vertical-relative:paragraph;z-index:1616;mso-wrap-distance-left:0;mso-wrap-distance-right:0" type="#_x0000_t202" filled="true" fillcolor="#6fac46" stroked="false">
            <v:textbox inset="0,0,0,0">
              <w:txbxContent>
                <w:p>
                  <w:pPr>
                    <w:pStyle w:val="BodyText"/>
                    <w:spacing w:before="10"/>
                    <w:rPr>
                      <w:sz w:val="29"/>
                    </w:rPr>
                  </w:pPr>
                </w:p>
                <w:p>
                  <w:pPr>
                    <w:spacing w:before="0"/>
                    <w:ind w:left="220" w:right="0" w:firstLine="0"/>
                    <w:jc w:val="left"/>
                    <w:rPr>
                      <w:rFonts w:ascii="Arial"/>
                      <w:sz w:val="36"/>
                    </w:rPr>
                  </w:pPr>
                  <w:r>
                    <w:rPr>
                      <w:rFonts w:ascii="Arial"/>
                      <w:color w:val="FFFFFF"/>
                      <w:sz w:val="36"/>
                    </w:rPr>
                    <w:t>28</w:t>
                  </w:r>
                </w:p>
              </w:txbxContent>
            </v:textbox>
            <v:fill type="solid"/>
            <w10:wrap type="topAndBottom"/>
          </v:shape>
        </w:pict>
      </w:r>
    </w:p>
    <w:p>
      <w:pPr>
        <w:spacing w:after="0"/>
        <w:rPr>
          <w:sz w:val="28"/>
        </w:rPr>
        <w:sectPr>
          <w:type w:val="continuous"/>
          <w:pgSz w:w="11910" w:h="16840"/>
          <w:pgMar w:top="0" w:bottom="280" w:left="0" w:right="0"/>
        </w:sectPr>
      </w:pPr>
    </w:p>
    <w:p>
      <w:pPr>
        <w:pStyle w:val="BodyText"/>
        <w:rPr>
          <w:sz w:val="20"/>
        </w:rPr>
      </w:pPr>
    </w:p>
    <w:p>
      <w:pPr>
        <w:pStyle w:val="BodyText"/>
        <w:rPr>
          <w:sz w:val="20"/>
        </w:rPr>
      </w:pPr>
    </w:p>
    <w:p>
      <w:pPr>
        <w:pStyle w:val="BodyText"/>
        <w:spacing w:before="1"/>
        <w:rPr>
          <w:sz w:val="18"/>
        </w:rPr>
      </w:pPr>
    </w:p>
    <w:p>
      <w:pPr>
        <w:spacing w:after="0"/>
        <w:rPr>
          <w:sz w:val="18"/>
        </w:rPr>
        <w:sectPr>
          <w:pgSz w:w="11910" w:h="16840"/>
          <w:pgMar w:top="0" w:bottom="0" w:left="0" w:right="0"/>
        </w:sectPr>
      </w:pPr>
    </w:p>
    <w:p>
      <w:pPr>
        <w:pStyle w:val="Heading1"/>
        <w:spacing w:line="172" w:lineRule="auto"/>
      </w:pPr>
      <w:r>
        <w:rPr/>
        <w:drawing>
          <wp:anchor distT="0" distB="0" distL="0" distR="0" allowOverlap="1" layoutInCell="1" locked="0" behindDoc="0" simplePos="0" relativeHeight="3760">
            <wp:simplePos x="0" y="0"/>
            <wp:positionH relativeFrom="page">
              <wp:posOffset>979932</wp:posOffset>
            </wp:positionH>
            <wp:positionV relativeFrom="paragraph">
              <wp:posOffset>-9589</wp:posOffset>
            </wp:positionV>
            <wp:extent cx="1478280" cy="612648"/>
            <wp:effectExtent l="0" t="0" r="0" b="0"/>
            <wp:wrapNone/>
            <wp:docPr id="125" name="image8.png" descr=""/>
            <wp:cNvGraphicFramePr>
              <a:graphicFrameLocks noChangeAspect="1"/>
            </wp:cNvGraphicFramePr>
            <a:graphic>
              <a:graphicData uri="http://schemas.openxmlformats.org/drawingml/2006/picture">
                <pic:pic>
                  <pic:nvPicPr>
                    <pic:cNvPr id="126" name="image8.png"/>
                    <pic:cNvPicPr/>
                  </pic:nvPicPr>
                  <pic:blipFill>
                    <a:blip r:embed="rId12" cstate="print"/>
                    <a:stretch>
                      <a:fillRect/>
                    </a:stretch>
                  </pic:blipFill>
                  <pic:spPr>
                    <a:xfrm>
                      <a:off x="0" y="0"/>
                      <a:ext cx="1478280" cy="612648"/>
                    </a:xfrm>
                    <a:prstGeom prst="rect">
                      <a:avLst/>
                    </a:prstGeom>
                  </pic:spPr>
                </pic:pic>
              </a:graphicData>
            </a:graphic>
          </wp:anchor>
        </w:drawing>
      </w:r>
      <w:r>
        <w:rPr>
          <w:color w:val="385522"/>
        </w:rPr>
        <w:t>meio </w:t>
      </w:r>
      <w:r>
        <w:rPr>
          <w:color w:val="385522"/>
          <w:w w:val="95"/>
        </w:rPr>
        <w:t>ambiente</w:t>
      </w:r>
    </w:p>
    <w:p>
      <w:pPr>
        <w:spacing w:before="60"/>
        <w:ind w:left="455" w:right="0" w:firstLine="0"/>
        <w:jc w:val="left"/>
        <w:rPr>
          <w:rFonts w:ascii="Arial" w:hAnsi="Arial"/>
          <w:sz w:val="22"/>
        </w:rPr>
      </w:pPr>
      <w:r>
        <w:rPr/>
        <w:br w:type="column"/>
      </w:r>
      <w:r>
        <w:rPr>
          <w:rFonts w:ascii="Arial" w:hAnsi="Arial"/>
          <w:color w:val="385522"/>
          <w:sz w:val="22"/>
        </w:rPr>
        <w:t>Plano Municipal de Segurança de Barragens-PMSB</w:t>
      </w:r>
    </w:p>
    <w:p>
      <w:pPr>
        <w:spacing w:after="0"/>
        <w:jc w:val="left"/>
        <w:rPr>
          <w:rFonts w:ascii="Arial" w:hAnsi="Arial"/>
          <w:sz w:val="22"/>
        </w:rPr>
        <w:sectPr>
          <w:type w:val="continuous"/>
          <w:pgSz w:w="11910" w:h="16840"/>
          <w:pgMar w:top="0" w:bottom="280" w:left="0" w:right="0"/>
          <w:cols w:num="2" w:equalWidth="0">
            <w:col w:w="5155" w:space="77"/>
            <w:col w:w="6678"/>
          </w:cols>
        </w:sectPr>
      </w:pPr>
    </w:p>
    <w:p>
      <w:pPr>
        <w:pStyle w:val="BodyText"/>
        <w:rPr>
          <w:rFonts w:ascii="Arial"/>
          <w:sz w:val="20"/>
        </w:rPr>
      </w:pPr>
      <w:r>
        <w:rPr/>
        <w:drawing>
          <wp:anchor distT="0" distB="0" distL="0" distR="0" allowOverlap="1" layoutInCell="1" locked="0" behindDoc="0" simplePos="0" relativeHeight="3784">
            <wp:simplePos x="0" y="0"/>
            <wp:positionH relativeFrom="page">
              <wp:posOffset>288925</wp:posOffset>
            </wp:positionH>
            <wp:positionV relativeFrom="page">
              <wp:posOffset>634</wp:posOffset>
            </wp:positionV>
            <wp:extent cx="474344" cy="10691748"/>
            <wp:effectExtent l="0" t="0" r="0" b="0"/>
            <wp:wrapNone/>
            <wp:docPr id="127" name="image9.png" descr=""/>
            <wp:cNvGraphicFramePr>
              <a:graphicFrameLocks noChangeAspect="1"/>
            </wp:cNvGraphicFramePr>
            <a:graphic>
              <a:graphicData uri="http://schemas.openxmlformats.org/drawingml/2006/picture">
                <pic:pic>
                  <pic:nvPicPr>
                    <pic:cNvPr id="128" name="image9.png"/>
                    <pic:cNvPicPr/>
                  </pic:nvPicPr>
                  <pic:blipFill>
                    <a:blip r:embed="rId13" cstate="print"/>
                    <a:stretch>
                      <a:fillRect/>
                    </a:stretch>
                  </pic:blipFill>
                  <pic:spPr>
                    <a:xfrm>
                      <a:off x="0" y="0"/>
                      <a:ext cx="474344" cy="10691748"/>
                    </a:xfrm>
                    <a:prstGeom prst="rect">
                      <a:avLst/>
                    </a:prstGeom>
                  </pic:spPr>
                </pic:pic>
              </a:graphicData>
            </a:graphic>
          </wp:anchor>
        </w:drawing>
      </w:r>
    </w:p>
    <w:p>
      <w:pPr>
        <w:pStyle w:val="BodyText"/>
        <w:rPr>
          <w:rFonts w:ascii="Arial"/>
          <w:sz w:val="20"/>
        </w:rPr>
      </w:pPr>
    </w:p>
    <w:p>
      <w:pPr>
        <w:pStyle w:val="BodyText"/>
        <w:spacing w:before="10"/>
        <w:rPr>
          <w:rFonts w:ascii="Arial"/>
        </w:rPr>
      </w:pPr>
    </w:p>
    <w:tbl>
      <w:tblPr>
        <w:tblW w:w="0" w:type="auto"/>
        <w:jc w:val="left"/>
        <w:tblInd w:w="142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0" w:type="dxa"/>
          <w:left w:w="0" w:type="dxa"/>
          <w:bottom w:w="0" w:type="dxa"/>
          <w:right w:w="0" w:type="dxa"/>
        </w:tblCellMar>
        <w:tblLook w:val="01E0"/>
      </w:tblPr>
      <w:tblGrid>
        <w:gridCol w:w="1694"/>
        <w:gridCol w:w="1558"/>
        <w:gridCol w:w="1135"/>
        <w:gridCol w:w="4674"/>
      </w:tblGrid>
      <w:tr>
        <w:trPr>
          <w:trHeight w:val="660" w:hRule="atLeast"/>
        </w:trPr>
        <w:tc>
          <w:tcPr>
            <w:tcW w:w="9061" w:type="dxa"/>
            <w:gridSpan w:val="4"/>
            <w:tcBorders>
              <w:top w:val="nil"/>
              <w:bottom w:val="single" w:sz="24" w:space="0" w:color="FFFFFF"/>
            </w:tcBorders>
            <w:shd w:val="clear" w:color="auto" w:fill="000000"/>
          </w:tcPr>
          <w:p>
            <w:pPr>
              <w:pStyle w:val="TableParagraph"/>
              <w:spacing w:before="137"/>
              <w:ind w:left="849"/>
              <w:rPr>
                <w:b/>
                <w:sz w:val="28"/>
              </w:rPr>
            </w:pPr>
            <w:r>
              <w:rPr>
                <w:b/>
                <w:color w:val="FFFFFF"/>
                <w:sz w:val="28"/>
              </w:rPr>
              <w:t>HISTÓRICO DE RUPTURA DE BARRAGEM NO MUNDO</w:t>
            </w:r>
          </w:p>
        </w:tc>
      </w:tr>
      <w:tr>
        <w:trPr>
          <w:trHeight w:val="139" w:hRule="atLeast"/>
        </w:trPr>
        <w:tc>
          <w:tcPr>
            <w:tcW w:w="9061" w:type="dxa"/>
            <w:gridSpan w:val="4"/>
            <w:tcBorders>
              <w:top w:val="single" w:sz="24" w:space="0" w:color="FFFFFF"/>
              <w:left w:val="nil"/>
              <w:bottom w:val="nil"/>
              <w:right w:val="nil"/>
            </w:tcBorders>
            <w:shd w:val="clear" w:color="auto" w:fill="CACACA"/>
          </w:tcPr>
          <w:p>
            <w:pPr>
              <w:pStyle w:val="TableParagraph"/>
              <w:rPr>
                <w:sz w:val="8"/>
              </w:rPr>
            </w:pPr>
          </w:p>
        </w:tc>
      </w:tr>
      <w:tr>
        <w:trPr>
          <w:trHeight w:val="1528" w:hRule="atLeast"/>
        </w:trPr>
        <w:tc>
          <w:tcPr>
            <w:tcW w:w="1694" w:type="dxa"/>
            <w:tcBorders>
              <w:top w:val="nil"/>
            </w:tcBorders>
            <w:shd w:val="clear" w:color="auto" w:fill="CACACA"/>
            <w:textDirection w:val="btLr"/>
          </w:tcPr>
          <w:p>
            <w:pPr>
              <w:pStyle w:val="TableParagraph"/>
              <w:spacing w:before="7"/>
              <w:rPr>
                <w:rFonts w:ascii="Arial"/>
                <w:sz w:val="36"/>
              </w:rPr>
            </w:pPr>
          </w:p>
          <w:p>
            <w:pPr>
              <w:pStyle w:val="TableParagraph"/>
              <w:spacing w:line="247" w:lineRule="auto"/>
              <w:ind w:left="313" w:right="155" w:firstLine="220"/>
              <w:rPr>
                <w:b/>
                <w:sz w:val="24"/>
              </w:rPr>
            </w:pPr>
            <w:r>
              <w:rPr>
                <w:b/>
                <w:sz w:val="24"/>
              </w:rPr>
              <w:t>Nome Barragem</w:t>
            </w:r>
          </w:p>
        </w:tc>
        <w:tc>
          <w:tcPr>
            <w:tcW w:w="1558" w:type="dxa"/>
            <w:tcBorders>
              <w:top w:val="nil"/>
            </w:tcBorders>
            <w:shd w:val="clear" w:color="auto" w:fill="CACACA"/>
            <w:textDirection w:val="btLr"/>
          </w:tcPr>
          <w:p>
            <w:pPr>
              <w:pStyle w:val="TableParagraph"/>
              <w:rPr>
                <w:rFonts w:ascii="Arial"/>
                <w:sz w:val="26"/>
              </w:rPr>
            </w:pPr>
          </w:p>
          <w:p>
            <w:pPr>
              <w:pStyle w:val="TableParagraph"/>
              <w:spacing w:line="247" w:lineRule="auto" w:before="197"/>
              <w:ind w:left="539" w:right="382" w:firstLine="7"/>
              <w:rPr>
                <w:b/>
                <w:sz w:val="24"/>
              </w:rPr>
            </w:pPr>
            <w:r>
              <w:rPr>
                <w:b/>
                <w:sz w:val="24"/>
              </w:rPr>
              <w:t>Local (Ano)</w:t>
            </w:r>
          </w:p>
        </w:tc>
        <w:tc>
          <w:tcPr>
            <w:tcW w:w="1135" w:type="dxa"/>
            <w:tcBorders>
              <w:top w:val="nil"/>
            </w:tcBorders>
            <w:shd w:val="clear" w:color="auto" w:fill="CACACA"/>
            <w:textDirection w:val="btLr"/>
          </w:tcPr>
          <w:p>
            <w:pPr>
              <w:pStyle w:val="TableParagraph"/>
              <w:spacing w:before="1"/>
              <w:rPr>
                <w:rFonts w:ascii="Arial"/>
                <w:sz w:val="37"/>
              </w:rPr>
            </w:pPr>
          </w:p>
          <w:p>
            <w:pPr>
              <w:pStyle w:val="TableParagraph"/>
              <w:ind w:left="385"/>
              <w:rPr>
                <w:b/>
                <w:sz w:val="24"/>
              </w:rPr>
            </w:pPr>
            <w:r>
              <w:rPr>
                <w:b/>
                <w:sz w:val="24"/>
              </w:rPr>
              <w:t>Material</w:t>
            </w:r>
          </w:p>
        </w:tc>
        <w:tc>
          <w:tcPr>
            <w:tcW w:w="4674" w:type="dxa"/>
            <w:tcBorders>
              <w:top w:val="nil"/>
            </w:tcBorders>
            <w:shd w:val="clear" w:color="auto" w:fill="CACACA"/>
          </w:tcPr>
          <w:p>
            <w:pPr>
              <w:pStyle w:val="TableParagraph"/>
              <w:rPr>
                <w:rFonts w:ascii="Arial"/>
                <w:sz w:val="26"/>
              </w:rPr>
            </w:pPr>
          </w:p>
          <w:p>
            <w:pPr>
              <w:pStyle w:val="TableParagraph"/>
              <w:spacing w:before="1"/>
              <w:rPr>
                <w:rFonts w:ascii="Arial"/>
                <w:sz w:val="22"/>
              </w:rPr>
            </w:pPr>
          </w:p>
          <w:p>
            <w:pPr>
              <w:pStyle w:val="TableParagraph"/>
              <w:ind w:left="1397"/>
              <w:rPr>
                <w:b/>
                <w:sz w:val="24"/>
              </w:rPr>
            </w:pPr>
            <w:r>
              <w:rPr>
                <w:b/>
                <w:sz w:val="24"/>
              </w:rPr>
              <w:t>Histórico e Efeitos</w:t>
            </w:r>
          </w:p>
        </w:tc>
      </w:tr>
      <w:tr>
        <w:trPr>
          <w:trHeight w:val="138" w:hRule="atLeast"/>
        </w:trPr>
        <w:tc>
          <w:tcPr>
            <w:tcW w:w="9061" w:type="dxa"/>
            <w:gridSpan w:val="4"/>
            <w:tcBorders>
              <w:left w:val="nil"/>
              <w:bottom w:val="nil"/>
              <w:right w:val="nil"/>
            </w:tcBorders>
            <w:shd w:val="clear" w:color="auto" w:fill="E7E7E7"/>
          </w:tcPr>
          <w:p>
            <w:pPr>
              <w:pStyle w:val="TableParagraph"/>
              <w:rPr>
                <w:sz w:val="8"/>
              </w:rPr>
            </w:pPr>
          </w:p>
        </w:tc>
      </w:tr>
      <w:tr>
        <w:trPr>
          <w:trHeight w:val="2035" w:hRule="atLeast"/>
        </w:trPr>
        <w:tc>
          <w:tcPr>
            <w:tcW w:w="1694" w:type="dxa"/>
            <w:tcBorders>
              <w:top w:val="nil"/>
            </w:tcBorders>
            <w:shd w:val="clear" w:color="auto" w:fill="E7E7E7"/>
            <w:textDirection w:val="btLr"/>
          </w:tcPr>
          <w:p>
            <w:pPr>
              <w:pStyle w:val="TableParagraph"/>
              <w:spacing w:before="1"/>
              <w:rPr>
                <w:rFonts w:ascii="Arial"/>
                <w:sz w:val="24"/>
              </w:rPr>
            </w:pPr>
          </w:p>
          <w:p>
            <w:pPr>
              <w:pStyle w:val="TableParagraph"/>
              <w:ind w:left="508"/>
              <w:rPr>
                <w:sz w:val="24"/>
              </w:rPr>
            </w:pPr>
            <w:r>
              <w:rPr>
                <w:sz w:val="24"/>
              </w:rPr>
              <w:t>Lower Otay</w:t>
            </w:r>
          </w:p>
        </w:tc>
        <w:tc>
          <w:tcPr>
            <w:tcW w:w="1558" w:type="dxa"/>
            <w:tcBorders>
              <w:top w:val="nil"/>
            </w:tcBorders>
            <w:shd w:val="clear" w:color="auto" w:fill="E7E7E7"/>
            <w:textDirection w:val="btLr"/>
          </w:tcPr>
          <w:p>
            <w:pPr>
              <w:pStyle w:val="TableParagraph"/>
              <w:rPr>
                <w:rFonts w:ascii="Arial"/>
                <w:sz w:val="26"/>
              </w:rPr>
            </w:pPr>
          </w:p>
          <w:p>
            <w:pPr>
              <w:pStyle w:val="TableParagraph"/>
              <w:spacing w:before="9"/>
              <w:rPr>
                <w:rFonts w:ascii="Arial"/>
                <w:sz w:val="22"/>
              </w:rPr>
            </w:pPr>
          </w:p>
          <w:p>
            <w:pPr>
              <w:pStyle w:val="TableParagraph"/>
              <w:spacing w:line="247" w:lineRule="auto"/>
              <w:ind w:left="762" w:right="183" w:hanging="430"/>
              <w:rPr>
                <w:sz w:val="24"/>
              </w:rPr>
            </w:pPr>
            <w:r>
              <w:rPr>
                <w:sz w:val="24"/>
              </w:rPr>
              <w:t>Estados Unidos (1916)</w:t>
            </w:r>
          </w:p>
        </w:tc>
        <w:tc>
          <w:tcPr>
            <w:tcW w:w="1135" w:type="dxa"/>
            <w:tcBorders>
              <w:top w:val="nil"/>
            </w:tcBorders>
            <w:shd w:val="clear" w:color="auto" w:fill="E7E7E7"/>
            <w:textDirection w:val="btLr"/>
          </w:tcPr>
          <w:p>
            <w:pPr>
              <w:pStyle w:val="TableParagraph"/>
              <w:spacing w:before="4"/>
              <w:rPr>
                <w:rFonts w:ascii="Arial"/>
                <w:sz w:val="24"/>
              </w:rPr>
            </w:pPr>
          </w:p>
          <w:p>
            <w:pPr>
              <w:pStyle w:val="TableParagraph"/>
              <w:ind w:left="802" w:right="672"/>
              <w:jc w:val="center"/>
              <w:rPr>
                <w:sz w:val="24"/>
              </w:rPr>
            </w:pPr>
            <w:r>
              <w:rPr>
                <w:sz w:val="24"/>
              </w:rPr>
              <w:t>Água</w:t>
            </w:r>
          </w:p>
        </w:tc>
        <w:tc>
          <w:tcPr>
            <w:tcW w:w="4674" w:type="dxa"/>
            <w:tcBorders>
              <w:top w:val="nil"/>
            </w:tcBorders>
            <w:shd w:val="clear" w:color="auto" w:fill="E7E7E7"/>
          </w:tcPr>
          <w:p>
            <w:pPr>
              <w:pStyle w:val="TableParagraph"/>
              <w:ind w:left="305" w:right="283"/>
              <w:jc w:val="center"/>
              <w:rPr>
                <w:sz w:val="24"/>
              </w:rPr>
            </w:pPr>
            <w:r>
              <w:rPr>
                <w:sz w:val="24"/>
              </w:rPr>
              <w:t>Após fortes chuvas a barragem começou a vazar. As autoridades não conseguiram parar o fluxo de água, e o reservatório acabou se esvaziando por completo e afetando seus arredores. 40 pessoas morreram.</w:t>
            </w:r>
          </w:p>
        </w:tc>
      </w:tr>
      <w:tr>
        <w:trPr>
          <w:trHeight w:val="138" w:hRule="atLeast"/>
        </w:trPr>
        <w:tc>
          <w:tcPr>
            <w:tcW w:w="9061" w:type="dxa"/>
            <w:gridSpan w:val="4"/>
            <w:tcBorders>
              <w:left w:val="nil"/>
              <w:bottom w:val="nil"/>
              <w:right w:val="nil"/>
            </w:tcBorders>
            <w:shd w:val="clear" w:color="auto" w:fill="CACACA"/>
          </w:tcPr>
          <w:p>
            <w:pPr>
              <w:pStyle w:val="TableParagraph"/>
              <w:rPr>
                <w:sz w:val="8"/>
              </w:rPr>
            </w:pPr>
          </w:p>
        </w:tc>
      </w:tr>
      <w:tr>
        <w:trPr>
          <w:trHeight w:val="1194" w:hRule="atLeast"/>
        </w:trPr>
        <w:tc>
          <w:tcPr>
            <w:tcW w:w="1694" w:type="dxa"/>
            <w:tcBorders>
              <w:top w:val="nil"/>
            </w:tcBorders>
            <w:shd w:val="clear" w:color="auto" w:fill="CACACA"/>
            <w:textDirection w:val="btLr"/>
          </w:tcPr>
          <w:p>
            <w:pPr>
              <w:pStyle w:val="TableParagraph"/>
              <w:spacing w:before="1"/>
              <w:rPr>
                <w:rFonts w:ascii="Arial"/>
                <w:sz w:val="24"/>
              </w:rPr>
            </w:pPr>
          </w:p>
          <w:p>
            <w:pPr>
              <w:pStyle w:val="TableParagraph"/>
              <w:ind w:left="371"/>
              <w:rPr>
                <w:sz w:val="24"/>
              </w:rPr>
            </w:pPr>
            <w:r>
              <w:rPr>
                <w:sz w:val="24"/>
              </w:rPr>
              <w:t>Gleno</w:t>
            </w:r>
          </w:p>
        </w:tc>
        <w:tc>
          <w:tcPr>
            <w:tcW w:w="1558" w:type="dxa"/>
            <w:tcBorders>
              <w:top w:val="nil"/>
            </w:tcBorders>
            <w:shd w:val="clear" w:color="auto" w:fill="CACACA"/>
            <w:textDirection w:val="btLr"/>
          </w:tcPr>
          <w:p>
            <w:pPr>
              <w:pStyle w:val="TableParagraph"/>
              <w:spacing w:before="1"/>
              <w:rPr>
                <w:rFonts w:ascii="Arial"/>
                <w:sz w:val="24"/>
              </w:rPr>
            </w:pPr>
          </w:p>
          <w:p>
            <w:pPr>
              <w:pStyle w:val="TableParagraph"/>
              <w:spacing w:line="247" w:lineRule="auto"/>
              <w:ind w:left="345" w:right="189" w:firstLine="74"/>
              <w:rPr>
                <w:sz w:val="24"/>
              </w:rPr>
            </w:pPr>
            <w:r>
              <w:rPr>
                <w:sz w:val="24"/>
              </w:rPr>
              <w:t>Itália (1923)</w:t>
            </w:r>
          </w:p>
        </w:tc>
        <w:tc>
          <w:tcPr>
            <w:tcW w:w="1135" w:type="dxa"/>
            <w:tcBorders>
              <w:top w:val="nil"/>
            </w:tcBorders>
            <w:shd w:val="clear" w:color="auto" w:fill="CACACA"/>
            <w:textDirection w:val="btLr"/>
          </w:tcPr>
          <w:p>
            <w:pPr>
              <w:pStyle w:val="TableParagraph"/>
              <w:spacing w:before="4"/>
              <w:rPr>
                <w:rFonts w:ascii="Arial"/>
                <w:sz w:val="24"/>
              </w:rPr>
            </w:pPr>
          </w:p>
          <w:p>
            <w:pPr>
              <w:pStyle w:val="TableParagraph"/>
              <w:ind w:left="405"/>
              <w:rPr>
                <w:sz w:val="24"/>
              </w:rPr>
            </w:pPr>
            <w:r>
              <w:rPr>
                <w:sz w:val="24"/>
              </w:rPr>
              <w:t>Água</w:t>
            </w:r>
          </w:p>
        </w:tc>
        <w:tc>
          <w:tcPr>
            <w:tcW w:w="4674" w:type="dxa"/>
            <w:tcBorders>
              <w:top w:val="nil"/>
            </w:tcBorders>
            <w:shd w:val="clear" w:color="auto" w:fill="CACACA"/>
          </w:tcPr>
          <w:p>
            <w:pPr>
              <w:pStyle w:val="TableParagraph"/>
              <w:ind w:left="446" w:right="428" w:firstLine="2"/>
              <w:jc w:val="center"/>
              <w:rPr>
                <w:sz w:val="24"/>
              </w:rPr>
            </w:pPr>
            <w:r>
              <w:rPr>
                <w:sz w:val="24"/>
              </w:rPr>
              <w:t>A barragem rachou e derramou 4,5 milhões de m3 de água. Muitas cidades foram completamente destruídas.</w:t>
            </w:r>
          </w:p>
        </w:tc>
      </w:tr>
      <w:tr>
        <w:trPr>
          <w:trHeight w:val="138" w:hRule="atLeast"/>
        </w:trPr>
        <w:tc>
          <w:tcPr>
            <w:tcW w:w="9061" w:type="dxa"/>
            <w:gridSpan w:val="4"/>
            <w:tcBorders>
              <w:left w:val="nil"/>
              <w:bottom w:val="nil"/>
              <w:right w:val="nil"/>
            </w:tcBorders>
            <w:shd w:val="clear" w:color="auto" w:fill="E7E7E7"/>
          </w:tcPr>
          <w:p>
            <w:pPr>
              <w:pStyle w:val="TableParagraph"/>
              <w:rPr>
                <w:sz w:val="8"/>
              </w:rPr>
            </w:pPr>
          </w:p>
        </w:tc>
      </w:tr>
      <w:tr>
        <w:trPr>
          <w:trHeight w:val="2409" w:hRule="atLeast"/>
        </w:trPr>
        <w:tc>
          <w:tcPr>
            <w:tcW w:w="1694" w:type="dxa"/>
            <w:tcBorders>
              <w:top w:val="nil"/>
            </w:tcBorders>
            <w:shd w:val="clear" w:color="auto" w:fill="E7E7E7"/>
            <w:textDirection w:val="btLr"/>
          </w:tcPr>
          <w:p>
            <w:pPr>
              <w:pStyle w:val="TableParagraph"/>
              <w:spacing w:before="1"/>
              <w:rPr>
                <w:rFonts w:ascii="Arial"/>
                <w:sz w:val="24"/>
              </w:rPr>
            </w:pPr>
          </w:p>
          <w:p>
            <w:pPr>
              <w:pStyle w:val="TableParagraph"/>
              <w:spacing w:line="247" w:lineRule="auto"/>
              <w:ind w:left="805" w:right="336" w:hanging="312"/>
              <w:rPr>
                <w:sz w:val="24"/>
              </w:rPr>
            </w:pPr>
            <w:r>
              <w:rPr>
                <w:sz w:val="24"/>
              </w:rPr>
              <w:t>Tragédia de São Francisco</w:t>
            </w:r>
          </w:p>
        </w:tc>
        <w:tc>
          <w:tcPr>
            <w:tcW w:w="1558" w:type="dxa"/>
            <w:tcBorders>
              <w:top w:val="nil"/>
            </w:tcBorders>
            <w:shd w:val="clear" w:color="auto" w:fill="E7E7E7"/>
            <w:textDirection w:val="btLr"/>
          </w:tcPr>
          <w:p>
            <w:pPr>
              <w:pStyle w:val="TableParagraph"/>
              <w:spacing w:before="1"/>
              <w:rPr>
                <w:rFonts w:ascii="Arial"/>
                <w:sz w:val="24"/>
              </w:rPr>
            </w:pPr>
          </w:p>
          <w:p>
            <w:pPr>
              <w:pStyle w:val="TableParagraph"/>
              <w:spacing w:line="247" w:lineRule="auto"/>
              <w:ind w:left="952" w:right="367" w:hanging="430"/>
              <w:rPr>
                <w:sz w:val="24"/>
              </w:rPr>
            </w:pPr>
            <w:r>
              <w:rPr>
                <w:sz w:val="24"/>
              </w:rPr>
              <w:t>Estados Unidos (1928)</w:t>
            </w:r>
          </w:p>
        </w:tc>
        <w:tc>
          <w:tcPr>
            <w:tcW w:w="1135" w:type="dxa"/>
            <w:tcBorders>
              <w:top w:val="nil"/>
            </w:tcBorders>
            <w:shd w:val="clear" w:color="auto" w:fill="E7E7E7"/>
            <w:textDirection w:val="btLr"/>
          </w:tcPr>
          <w:p>
            <w:pPr>
              <w:pStyle w:val="TableParagraph"/>
              <w:spacing w:before="4"/>
              <w:rPr>
                <w:rFonts w:ascii="Arial"/>
                <w:sz w:val="24"/>
              </w:rPr>
            </w:pPr>
          </w:p>
          <w:p>
            <w:pPr>
              <w:pStyle w:val="TableParagraph"/>
              <w:ind w:left="992" w:right="857"/>
              <w:jc w:val="center"/>
              <w:rPr>
                <w:sz w:val="24"/>
              </w:rPr>
            </w:pPr>
            <w:r>
              <w:rPr>
                <w:sz w:val="24"/>
              </w:rPr>
              <w:t>Água</w:t>
            </w:r>
          </w:p>
        </w:tc>
        <w:tc>
          <w:tcPr>
            <w:tcW w:w="4674" w:type="dxa"/>
            <w:tcBorders>
              <w:top w:val="nil"/>
            </w:tcBorders>
            <w:shd w:val="clear" w:color="auto" w:fill="E7E7E7"/>
          </w:tcPr>
          <w:p>
            <w:pPr>
              <w:pStyle w:val="TableParagraph"/>
              <w:ind w:left="317" w:right="296" w:hanging="1"/>
              <w:jc w:val="center"/>
              <w:rPr>
                <w:sz w:val="24"/>
              </w:rPr>
            </w:pPr>
            <w:r>
              <w:rPr>
                <w:sz w:val="24"/>
              </w:rPr>
              <w:t>Devido à instabilidade geológica das paredes da região, rachaduras começaram a aparecer nas estruturas de contenção. A engenharia reparou os vincos maiores e os menores foram considerados "normais". A estrutura entrou em</w:t>
            </w:r>
            <w:r>
              <w:rPr>
                <w:spacing w:val="-9"/>
                <w:sz w:val="24"/>
              </w:rPr>
              <w:t> </w:t>
            </w:r>
            <w:r>
              <w:rPr>
                <w:sz w:val="24"/>
              </w:rPr>
              <w:t>colapso, gerando ondas de cerca de 43 metros de altura. 600 pessoas</w:t>
            </w:r>
            <w:r>
              <w:rPr>
                <w:spacing w:val="-2"/>
                <w:sz w:val="24"/>
              </w:rPr>
              <w:t> </w:t>
            </w:r>
            <w:r>
              <w:rPr>
                <w:sz w:val="24"/>
              </w:rPr>
              <w:t>morreram.</w:t>
            </w:r>
          </w:p>
        </w:tc>
      </w:tr>
      <w:tr>
        <w:trPr>
          <w:trHeight w:val="138" w:hRule="atLeast"/>
        </w:trPr>
        <w:tc>
          <w:tcPr>
            <w:tcW w:w="9061" w:type="dxa"/>
            <w:gridSpan w:val="4"/>
            <w:tcBorders>
              <w:left w:val="nil"/>
              <w:bottom w:val="nil"/>
              <w:right w:val="nil"/>
            </w:tcBorders>
            <w:shd w:val="clear" w:color="auto" w:fill="CACACA"/>
          </w:tcPr>
          <w:p>
            <w:pPr>
              <w:pStyle w:val="TableParagraph"/>
              <w:rPr>
                <w:sz w:val="8"/>
              </w:rPr>
            </w:pPr>
          </w:p>
        </w:tc>
      </w:tr>
      <w:tr>
        <w:trPr>
          <w:trHeight w:val="1442" w:hRule="atLeast"/>
        </w:trPr>
        <w:tc>
          <w:tcPr>
            <w:tcW w:w="1694" w:type="dxa"/>
            <w:tcBorders>
              <w:top w:val="nil"/>
            </w:tcBorders>
            <w:shd w:val="clear" w:color="auto" w:fill="CACACA"/>
            <w:textDirection w:val="btLr"/>
          </w:tcPr>
          <w:p>
            <w:pPr>
              <w:pStyle w:val="TableParagraph"/>
              <w:spacing w:before="1"/>
              <w:rPr>
                <w:rFonts w:ascii="Arial"/>
                <w:sz w:val="24"/>
              </w:rPr>
            </w:pPr>
          </w:p>
          <w:p>
            <w:pPr>
              <w:pStyle w:val="TableParagraph"/>
              <w:ind w:left="409"/>
              <w:rPr>
                <w:sz w:val="24"/>
              </w:rPr>
            </w:pPr>
            <w:r>
              <w:rPr>
                <w:sz w:val="24"/>
              </w:rPr>
              <w:t>Edersee</w:t>
            </w:r>
          </w:p>
        </w:tc>
        <w:tc>
          <w:tcPr>
            <w:tcW w:w="1558" w:type="dxa"/>
            <w:tcBorders>
              <w:top w:val="nil"/>
            </w:tcBorders>
            <w:shd w:val="clear" w:color="auto" w:fill="CACACA"/>
            <w:textDirection w:val="btLr"/>
          </w:tcPr>
          <w:p>
            <w:pPr>
              <w:pStyle w:val="TableParagraph"/>
              <w:spacing w:before="1"/>
              <w:rPr>
                <w:rFonts w:ascii="Arial"/>
                <w:sz w:val="24"/>
              </w:rPr>
            </w:pPr>
          </w:p>
          <w:p>
            <w:pPr>
              <w:pStyle w:val="TableParagraph"/>
              <w:spacing w:line="247" w:lineRule="auto"/>
              <w:ind w:left="469" w:right="139" w:hanging="173"/>
              <w:rPr>
                <w:sz w:val="24"/>
              </w:rPr>
            </w:pPr>
            <w:r>
              <w:rPr>
                <w:sz w:val="24"/>
              </w:rPr>
              <w:t>Alemanha (1943)</w:t>
            </w:r>
          </w:p>
        </w:tc>
        <w:tc>
          <w:tcPr>
            <w:tcW w:w="1135" w:type="dxa"/>
            <w:tcBorders>
              <w:top w:val="nil"/>
            </w:tcBorders>
            <w:shd w:val="clear" w:color="auto" w:fill="CACACA"/>
            <w:textDirection w:val="btLr"/>
          </w:tcPr>
          <w:p>
            <w:pPr>
              <w:pStyle w:val="TableParagraph"/>
              <w:spacing w:before="4"/>
              <w:rPr>
                <w:rFonts w:ascii="Arial"/>
                <w:sz w:val="24"/>
              </w:rPr>
            </w:pPr>
          </w:p>
          <w:p>
            <w:pPr>
              <w:pStyle w:val="TableParagraph"/>
              <w:ind w:left="529"/>
              <w:rPr>
                <w:sz w:val="24"/>
              </w:rPr>
            </w:pPr>
            <w:r>
              <w:rPr>
                <w:sz w:val="24"/>
              </w:rPr>
              <w:t>Água</w:t>
            </w:r>
          </w:p>
        </w:tc>
        <w:tc>
          <w:tcPr>
            <w:tcW w:w="4674" w:type="dxa"/>
            <w:tcBorders>
              <w:top w:val="nil"/>
            </w:tcBorders>
            <w:shd w:val="clear" w:color="auto" w:fill="CACACA"/>
          </w:tcPr>
          <w:p>
            <w:pPr>
              <w:pStyle w:val="TableParagraph"/>
              <w:ind w:left="396" w:right="377" w:firstLine="1"/>
              <w:jc w:val="center"/>
              <w:rPr>
                <w:sz w:val="24"/>
              </w:rPr>
            </w:pPr>
            <w:r>
              <w:rPr>
                <w:sz w:val="24"/>
              </w:rPr>
              <w:t>A barragem do rio Eder se rompeu em decorrência de bombardeios britânicos à região. 100 pessoas morreram.</w:t>
            </w:r>
          </w:p>
        </w:tc>
      </w:tr>
      <w:tr>
        <w:trPr>
          <w:trHeight w:val="139" w:hRule="atLeast"/>
        </w:trPr>
        <w:tc>
          <w:tcPr>
            <w:tcW w:w="9061" w:type="dxa"/>
            <w:gridSpan w:val="4"/>
            <w:tcBorders>
              <w:left w:val="nil"/>
              <w:bottom w:val="nil"/>
              <w:right w:val="nil"/>
            </w:tcBorders>
            <w:shd w:val="clear" w:color="auto" w:fill="E7E7E7"/>
          </w:tcPr>
          <w:p>
            <w:pPr>
              <w:pStyle w:val="TableParagraph"/>
              <w:rPr>
                <w:sz w:val="8"/>
              </w:rPr>
            </w:pPr>
          </w:p>
        </w:tc>
      </w:tr>
      <w:tr>
        <w:trPr>
          <w:trHeight w:val="2393" w:hRule="atLeast"/>
        </w:trPr>
        <w:tc>
          <w:tcPr>
            <w:tcW w:w="1694" w:type="dxa"/>
            <w:tcBorders>
              <w:top w:val="nil"/>
              <w:bottom w:val="nil"/>
            </w:tcBorders>
            <w:shd w:val="clear" w:color="auto" w:fill="E7E7E7"/>
            <w:textDirection w:val="btLr"/>
          </w:tcPr>
          <w:p>
            <w:pPr>
              <w:pStyle w:val="TableParagraph"/>
              <w:spacing w:before="1"/>
              <w:rPr>
                <w:rFonts w:ascii="Arial"/>
                <w:sz w:val="24"/>
              </w:rPr>
            </w:pPr>
          </w:p>
          <w:p>
            <w:pPr>
              <w:pStyle w:val="TableParagraph"/>
              <w:ind w:left="275"/>
              <w:rPr>
                <w:sz w:val="24"/>
              </w:rPr>
            </w:pPr>
            <w:r>
              <w:rPr>
                <w:sz w:val="24"/>
              </w:rPr>
              <w:t>Barragem Malpasset</w:t>
            </w:r>
          </w:p>
        </w:tc>
        <w:tc>
          <w:tcPr>
            <w:tcW w:w="1558" w:type="dxa"/>
            <w:tcBorders>
              <w:top w:val="nil"/>
              <w:bottom w:val="nil"/>
            </w:tcBorders>
            <w:shd w:val="clear" w:color="auto" w:fill="E7E7E7"/>
            <w:textDirection w:val="btLr"/>
          </w:tcPr>
          <w:p>
            <w:pPr>
              <w:pStyle w:val="TableParagraph"/>
              <w:spacing w:before="1"/>
              <w:rPr>
                <w:rFonts w:ascii="Arial"/>
                <w:sz w:val="24"/>
              </w:rPr>
            </w:pPr>
          </w:p>
          <w:p>
            <w:pPr>
              <w:pStyle w:val="TableParagraph"/>
              <w:ind w:left="590"/>
              <w:rPr>
                <w:sz w:val="24"/>
              </w:rPr>
            </w:pPr>
            <w:r>
              <w:rPr>
                <w:sz w:val="24"/>
              </w:rPr>
              <w:t>França (1959)</w:t>
            </w:r>
          </w:p>
        </w:tc>
        <w:tc>
          <w:tcPr>
            <w:tcW w:w="1135" w:type="dxa"/>
            <w:tcBorders>
              <w:top w:val="nil"/>
              <w:bottom w:val="nil"/>
            </w:tcBorders>
            <w:shd w:val="clear" w:color="auto" w:fill="E7E7E7"/>
            <w:textDirection w:val="btLr"/>
          </w:tcPr>
          <w:p>
            <w:pPr>
              <w:pStyle w:val="TableParagraph"/>
              <w:spacing w:before="4"/>
              <w:rPr>
                <w:rFonts w:ascii="Arial"/>
                <w:sz w:val="24"/>
              </w:rPr>
            </w:pPr>
          </w:p>
          <w:p>
            <w:pPr>
              <w:pStyle w:val="TableParagraph"/>
              <w:ind w:left="985" w:right="848"/>
              <w:jc w:val="center"/>
              <w:rPr>
                <w:sz w:val="24"/>
              </w:rPr>
            </w:pPr>
            <w:r>
              <w:rPr>
                <w:sz w:val="24"/>
              </w:rPr>
              <w:t>Água</w:t>
            </w:r>
          </w:p>
        </w:tc>
        <w:tc>
          <w:tcPr>
            <w:tcW w:w="4674" w:type="dxa"/>
            <w:tcBorders>
              <w:top w:val="nil"/>
              <w:bottom w:val="nil"/>
            </w:tcBorders>
            <w:shd w:val="clear" w:color="auto" w:fill="E7E7E7"/>
          </w:tcPr>
          <w:p>
            <w:pPr>
              <w:pStyle w:val="TableParagraph"/>
              <w:ind w:left="355" w:right="335" w:hanging="1"/>
              <w:jc w:val="center"/>
              <w:rPr>
                <w:sz w:val="24"/>
              </w:rPr>
            </w:pPr>
            <w:r>
              <w:rPr>
                <w:sz w:val="24"/>
              </w:rPr>
              <w:t>As paredes dessa barragem apresentaram ruídos de quebra em 1959. O problema não foi devidamente analisado. Toda a construção desabou em pedaços,</w:t>
            </w:r>
            <w:r>
              <w:rPr>
                <w:spacing w:val="-8"/>
                <w:sz w:val="24"/>
              </w:rPr>
              <w:t> </w:t>
            </w:r>
            <w:r>
              <w:rPr>
                <w:sz w:val="24"/>
              </w:rPr>
              <w:t>gerando ondas de mais de 40 metros e causando 423</w:t>
            </w:r>
            <w:r>
              <w:rPr>
                <w:spacing w:val="-1"/>
                <w:sz w:val="24"/>
              </w:rPr>
              <w:t> </w:t>
            </w:r>
            <w:r>
              <w:rPr>
                <w:sz w:val="24"/>
              </w:rPr>
              <w:t>mortes.</w:t>
            </w:r>
          </w:p>
        </w:tc>
      </w:tr>
    </w:tbl>
    <w:p>
      <w:pPr>
        <w:pStyle w:val="BodyText"/>
        <w:rPr>
          <w:rFonts w:ascii="Arial"/>
          <w:sz w:val="20"/>
        </w:rPr>
      </w:pPr>
    </w:p>
    <w:p>
      <w:pPr>
        <w:pStyle w:val="BodyText"/>
        <w:rPr>
          <w:rFonts w:ascii="Arial"/>
          <w:sz w:val="20"/>
        </w:rPr>
      </w:pPr>
    </w:p>
    <w:p>
      <w:pPr>
        <w:pStyle w:val="BodyText"/>
        <w:spacing w:before="1"/>
        <w:rPr>
          <w:rFonts w:ascii="Arial"/>
          <w:sz w:val="25"/>
        </w:rPr>
      </w:pPr>
      <w:r>
        <w:rPr/>
        <w:pict>
          <v:shape style="position:absolute;margin-left:475.660004pt;margin-top:15.637953pt;width:40.450pt;height:55.95pt;mso-position-horizontal-relative:page;mso-position-vertical-relative:paragraph;z-index:1688;mso-wrap-distance-left:0;mso-wrap-distance-right:0" type="#_x0000_t202" filled="true" fillcolor="#6fac46" stroked="false">
            <v:textbox inset="0,0,0,0">
              <w:txbxContent>
                <w:p>
                  <w:pPr>
                    <w:pStyle w:val="BodyText"/>
                    <w:spacing w:before="10"/>
                    <w:rPr>
                      <w:rFonts w:ascii="Arial"/>
                      <w:sz w:val="29"/>
                    </w:rPr>
                  </w:pPr>
                </w:p>
                <w:p>
                  <w:pPr>
                    <w:spacing w:before="0"/>
                    <w:ind w:left="220" w:right="0" w:firstLine="0"/>
                    <w:jc w:val="left"/>
                    <w:rPr>
                      <w:rFonts w:ascii="Arial"/>
                      <w:sz w:val="36"/>
                    </w:rPr>
                  </w:pPr>
                  <w:r>
                    <w:rPr>
                      <w:rFonts w:ascii="Arial"/>
                      <w:color w:val="FFFFFF"/>
                      <w:sz w:val="36"/>
                    </w:rPr>
                    <w:t>29</w:t>
                  </w:r>
                </w:p>
              </w:txbxContent>
            </v:textbox>
            <v:fill type="solid"/>
            <w10:wrap type="topAndBottom"/>
          </v:shape>
        </w:pict>
      </w:r>
    </w:p>
    <w:p>
      <w:pPr>
        <w:spacing w:after="0"/>
        <w:rPr>
          <w:rFonts w:ascii="Arial"/>
          <w:sz w:val="25"/>
        </w:rPr>
        <w:sectPr>
          <w:type w:val="continuous"/>
          <w:pgSz w:w="11910" w:h="16840"/>
          <w:pgMar w:top="0" w:bottom="280" w:left="0" w:right="0"/>
        </w:sectPr>
      </w:pPr>
    </w:p>
    <w:p>
      <w:pPr>
        <w:pStyle w:val="BodyText"/>
        <w:rPr>
          <w:rFonts w:ascii="Arial"/>
          <w:sz w:val="20"/>
        </w:rPr>
      </w:pPr>
    </w:p>
    <w:p>
      <w:pPr>
        <w:pStyle w:val="BodyText"/>
        <w:rPr>
          <w:rFonts w:ascii="Arial"/>
          <w:sz w:val="20"/>
        </w:rPr>
      </w:pPr>
    </w:p>
    <w:p>
      <w:pPr>
        <w:pStyle w:val="BodyText"/>
        <w:spacing w:before="1"/>
        <w:rPr>
          <w:rFonts w:ascii="Arial"/>
          <w:sz w:val="18"/>
        </w:rPr>
      </w:pPr>
    </w:p>
    <w:p>
      <w:pPr>
        <w:spacing w:after="0"/>
        <w:rPr>
          <w:rFonts w:ascii="Arial"/>
          <w:sz w:val="18"/>
        </w:rPr>
        <w:sectPr>
          <w:pgSz w:w="11910" w:h="16840"/>
          <w:pgMar w:top="0" w:bottom="0" w:left="0" w:right="0"/>
        </w:sectPr>
      </w:pPr>
    </w:p>
    <w:p>
      <w:pPr>
        <w:pStyle w:val="Heading1"/>
        <w:spacing w:line="172" w:lineRule="auto"/>
      </w:pPr>
      <w:r>
        <w:rPr/>
        <w:drawing>
          <wp:anchor distT="0" distB="0" distL="0" distR="0" allowOverlap="1" layoutInCell="1" locked="0" behindDoc="0" simplePos="0" relativeHeight="3832">
            <wp:simplePos x="0" y="0"/>
            <wp:positionH relativeFrom="page">
              <wp:posOffset>979932</wp:posOffset>
            </wp:positionH>
            <wp:positionV relativeFrom="paragraph">
              <wp:posOffset>-9589</wp:posOffset>
            </wp:positionV>
            <wp:extent cx="1478280" cy="612648"/>
            <wp:effectExtent l="0" t="0" r="0" b="0"/>
            <wp:wrapNone/>
            <wp:docPr id="129" name="image8.png" descr=""/>
            <wp:cNvGraphicFramePr>
              <a:graphicFrameLocks noChangeAspect="1"/>
            </wp:cNvGraphicFramePr>
            <a:graphic>
              <a:graphicData uri="http://schemas.openxmlformats.org/drawingml/2006/picture">
                <pic:pic>
                  <pic:nvPicPr>
                    <pic:cNvPr id="130" name="image8.png"/>
                    <pic:cNvPicPr/>
                  </pic:nvPicPr>
                  <pic:blipFill>
                    <a:blip r:embed="rId12" cstate="print"/>
                    <a:stretch>
                      <a:fillRect/>
                    </a:stretch>
                  </pic:blipFill>
                  <pic:spPr>
                    <a:xfrm>
                      <a:off x="0" y="0"/>
                      <a:ext cx="1478280" cy="612648"/>
                    </a:xfrm>
                    <a:prstGeom prst="rect">
                      <a:avLst/>
                    </a:prstGeom>
                  </pic:spPr>
                </pic:pic>
              </a:graphicData>
            </a:graphic>
          </wp:anchor>
        </w:drawing>
      </w:r>
      <w:r>
        <w:rPr>
          <w:color w:val="385522"/>
        </w:rPr>
        <w:t>meio </w:t>
      </w:r>
      <w:r>
        <w:rPr>
          <w:color w:val="385522"/>
          <w:w w:val="95"/>
        </w:rPr>
        <w:t>ambiente</w:t>
      </w:r>
    </w:p>
    <w:p>
      <w:pPr>
        <w:spacing w:before="60"/>
        <w:ind w:left="455" w:right="0" w:firstLine="0"/>
        <w:jc w:val="left"/>
        <w:rPr>
          <w:rFonts w:ascii="Arial" w:hAnsi="Arial"/>
          <w:sz w:val="22"/>
        </w:rPr>
      </w:pPr>
      <w:r>
        <w:rPr/>
        <w:br w:type="column"/>
      </w:r>
      <w:r>
        <w:rPr>
          <w:rFonts w:ascii="Arial" w:hAnsi="Arial"/>
          <w:color w:val="385522"/>
          <w:sz w:val="22"/>
        </w:rPr>
        <w:t>Plano Municipal de Segurança de Barragens-PMSB</w:t>
      </w:r>
    </w:p>
    <w:p>
      <w:pPr>
        <w:spacing w:after="0"/>
        <w:jc w:val="left"/>
        <w:rPr>
          <w:rFonts w:ascii="Arial" w:hAnsi="Arial"/>
          <w:sz w:val="22"/>
        </w:rPr>
        <w:sectPr>
          <w:type w:val="continuous"/>
          <w:pgSz w:w="11910" w:h="16840"/>
          <w:pgMar w:top="0" w:bottom="280" w:left="0" w:right="0"/>
          <w:cols w:num="2" w:equalWidth="0">
            <w:col w:w="5155" w:space="77"/>
            <w:col w:w="6678"/>
          </w:cols>
        </w:sectPr>
      </w:pPr>
    </w:p>
    <w:p>
      <w:pPr>
        <w:pStyle w:val="BodyText"/>
        <w:rPr>
          <w:rFonts w:ascii="Arial"/>
          <w:sz w:val="20"/>
        </w:rPr>
      </w:pPr>
      <w:r>
        <w:rPr/>
        <w:drawing>
          <wp:anchor distT="0" distB="0" distL="0" distR="0" allowOverlap="1" layoutInCell="1" locked="0" behindDoc="0" simplePos="0" relativeHeight="3856">
            <wp:simplePos x="0" y="0"/>
            <wp:positionH relativeFrom="page">
              <wp:posOffset>288925</wp:posOffset>
            </wp:positionH>
            <wp:positionV relativeFrom="page">
              <wp:posOffset>634</wp:posOffset>
            </wp:positionV>
            <wp:extent cx="474344" cy="10691748"/>
            <wp:effectExtent l="0" t="0" r="0" b="0"/>
            <wp:wrapNone/>
            <wp:docPr id="131" name="image9.png" descr=""/>
            <wp:cNvGraphicFramePr>
              <a:graphicFrameLocks noChangeAspect="1"/>
            </wp:cNvGraphicFramePr>
            <a:graphic>
              <a:graphicData uri="http://schemas.openxmlformats.org/drawingml/2006/picture">
                <pic:pic>
                  <pic:nvPicPr>
                    <pic:cNvPr id="132" name="image9.png"/>
                    <pic:cNvPicPr/>
                  </pic:nvPicPr>
                  <pic:blipFill>
                    <a:blip r:embed="rId13" cstate="print"/>
                    <a:stretch>
                      <a:fillRect/>
                    </a:stretch>
                  </pic:blipFill>
                  <pic:spPr>
                    <a:xfrm>
                      <a:off x="0" y="0"/>
                      <a:ext cx="474344" cy="10691748"/>
                    </a:xfrm>
                    <a:prstGeom prst="rect">
                      <a:avLst/>
                    </a:prstGeom>
                  </pic:spPr>
                </pic:pic>
              </a:graphicData>
            </a:graphic>
          </wp:anchor>
        </w:drawing>
      </w:r>
    </w:p>
    <w:p>
      <w:pPr>
        <w:pStyle w:val="BodyText"/>
        <w:rPr>
          <w:rFonts w:ascii="Arial"/>
          <w:sz w:val="20"/>
        </w:rPr>
      </w:pPr>
    </w:p>
    <w:p>
      <w:pPr>
        <w:pStyle w:val="BodyText"/>
        <w:spacing w:before="10"/>
        <w:rPr>
          <w:rFonts w:ascii="Arial"/>
        </w:rPr>
      </w:pPr>
    </w:p>
    <w:tbl>
      <w:tblPr>
        <w:tblW w:w="0" w:type="auto"/>
        <w:jc w:val="left"/>
        <w:tblInd w:w="142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0" w:type="dxa"/>
          <w:left w:w="0" w:type="dxa"/>
          <w:bottom w:w="0" w:type="dxa"/>
          <w:right w:w="0" w:type="dxa"/>
        </w:tblCellMar>
        <w:tblLook w:val="01E0"/>
      </w:tblPr>
      <w:tblGrid>
        <w:gridCol w:w="1694"/>
        <w:gridCol w:w="1558"/>
        <w:gridCol w:w="1135"/>
        <w:gridCol w:w="141"/>
        <w:gridCol w:w="4532"/>
      </w:tblGrid>
      <w:tr>
        <w:trPr>
          <w:trHeight w:val="2570" w:hRule="atLeast"/>
        </w:trPr>
        <w:tc>
          <w:tcPr>
            <w:tcW w:w="1694" w:type="dxa"/>
            <w:tcBorders>
              <w:top w:val="nil"/>
            </w:tcBorders>
            <w:shd w:val="clear" w:color="auto" w:fill="CACACA"/>
            <w:textDirection w:val="btLr"/>
          </w:tcPr>
          <w:p>
            <w:pPr>
              <w:pStyle w:val="TableParagraph"/>
              <w:spacing w:before="1"/>
              <w:rPr>
                <w:rFonts w:ascii="Arial"/>
                <w:sz w:val="24"/>
              </w:rPr>
            </w:pPr>
          </w:p>
          <w:p>
            <w:pPr>
              <w:pStyle w:val="TableParagraph"/>
              <w:ind w:left="311"/>
              <w:rPr>
                <w:sz w:val="24"/>
              </w:rPr>
            </w:pPr>
            <w:r>
              <w:rPr>
                <w:sz w:val="24"/>
              </w:rPr>
              <w:t>Barragem de Vajont</w:t>
            </w:r>
          </w:p>
        </w:tc>
        <w:tc>
          <w:tcPr>
            <w:tcW w:w="1558" w:type="dxa"/>
            <w:tcBorders>
              <w:top w:val="nil"/>
            </w:tcBorders>
            <w:shd w:val="clear" w:color="auto" w:fill="CACACA"/>
            <w:textDirection w:val="btLr"/>
          </w:tcPr>
          <w:p>
            <w:pPr>
              <w:pStyle w:val="TableParagraph"/>
              <w:spacing w:before="1"/>
              <w:rPr>
                <w:rFonts w:ascii="Arial"/>
                <w:sz w:val="24"/>
              </w:rPr>
            </w:pPr>
          </w:p>
          <w:p>
            <w:pPr>
              <w:pStyle w:val="TableParagraph"/>
              <w:ind w:left="688"/>
              <w:rPr>
                <w:sz w:val="24"/>
              </w:rPr>
            </w:pPr>
            <w:r>
              <w:rPr>
                <w:sz w:val="24"/>
              </w:rPr>
              <w:t>Itália (1963)</w:t>
            </w:r>
          </w:p>
        </w:tc>
        <w:tc>
          <w:tcPr>
            <w:tcW w:w="1135" w:type="dxa"/>
            <w:tcBorders>
              <w:top w:val="nil"/>
            </w:tcBorders>
            <w:shd w:val="clear" w:color="auto" w:fill="CACACA"/>
            <w:textDirection w:val="btLr"/>
          </w:tcPr>
          <w:p>
            <w:pPr>
              <w:pStyle w:val="TableParagraph"/>
              <w:spacing w:before="4"/>
              <w:rPr>
                <w:rFonts w:ascii="Arial"/>
                <w:sz w:val="24"/>
              </w:rPr>
            </w:pPr>
          </w:p>
          <w:p>
            <w:pPr>
              <w:pStyle w:val="TableParagraph"/>
              <w:ind w:left="1004" w:right="1005"/>
              <w:jc w:val="center"/>
              <w:rPr>
                <w:sz w:val="24"/>
              </w:rPr>
            </w:pPr>
            <w:r>
              <w:rPr>
                <w:sz w:val="24"/>
              </w:rPr>
              <w:t>Água</w:t>
            </w:r>
          </w:p>
        </w:tc>
        <w:tc>
          <w:tcPr>
            <w:tcW w:w="4673" w:type="dxa"/>
            <w:gridSpan w:val="2"/>
            <w:tcBorders>
              <w:top w:val="nil"/>
            </w:tcBorders>
            <w:shd w:val="clear" w:color="auto" w:fill="CACACA"/>
          </w:tcPr>
          <w:p>
            <w:pPr>
              <w:pStyle w:val="TableParagraph"/>
              <w:spacing w:before="131"/>
              <w:ind w:left="288" w:right="265" w:hanging="2"/>
              <w:jc w:val="center"/>
              <w:rPr>
                <w:sz w:val="24"/>
              </w:rPr>
            </w:pPr>
            <w:r>
              <w:rPr>
                <w:sz w:val="24"/>
              </w:rPr>
              <w:t>Um terremoto atingiu a região causando um deslizamento de terra de cerca de 260 milhões de m3 que desabou nas águas do reservatório. Em apenas 45 segundos, toda a área ficou submersa por ondas de 250 metros de altura. Mais de 2.000 pessoas morreram.</w:t>
            </w:r>
          </w:p>
        </w:tc>
      </w:tr>
      <w:tr>
        <w:trPr>
          <w:trHeight w:val="138" w:hRule="atLeast"/>
        </w:trPr>
        <w:tc>
          <w:tcPr>
            <w:tcW w:w="9060" w:type="dxa"/>
            <w:gridSpan w:val="5"/>
            <w:tcBorders>
              <w:left w:val="nil"/>
              <w:bottom w:val="nil"/>
              <w:right w:val="nil"/>
            </w:tcBorders>
            <w:shd w:val="clear" w:color="auto" w:fill="E7E7E7"/>
          </w:tcPr>
          <w:p>
            <w:pPr>
              <w:pStyle w:val="TableParagraph"/>
              <w:rPr>
                <w:sz w:val="8"/>
              </w:rPr>
            </w:pPr>
          </w:p>
        </w:tc>
      </w:tr>
      <w:tr>
        <w:trPr>
          <w:trHeight w:val="1430" w:hRule="atLeast"/>
        </w:trPr>
        <w:tc>
          <w:tcPr>
            <w:tcW w:w="1694" w:type="dxa"/>
            <w:tcBorders>
              <w:top w:val="nil"/>
            </w:tcBorders>
            <w:shd w:val="clear" w:color="auto" w:fill="E7E7E7"/>
            <w:textDirection w:val="btLr"/>
          </w:tcPr>
          <w:p>
            <w:pPr>
              <w:pStyle w:val="TableParagraph"/>
              <w:spacing w:before="1"/>
              <w:rPr>
                <w:rFonts w:ascii="Arial"/>
                <w:sz w:val="24"/>
              </w:rPr>
            </w:pPr>
          </w:p>
          <w:p>
            <w:pPr>
              <w:pStyle w:val="TableParagraph"/>
              <w:spacing w:line="247" w:lineRule="auto"/>
              <w:ind w:left="256" w:right="100" w:firstLine="274"/>
              <w:rPr>
                <w:sz w:val="24"/>
              </w:rPr>
            </w:pPr>
            <w:r>
              <w:rPr>
                <w:sz w:val="24"/>
              </w:rPr>
              <w:t>Mina Plakalnitsa</w:t>
            </w:r>
          </w:p>
        </w:tc>
        <w:tc>
          <w:tcPr>
            <w:tcW w:w="1558" w:type="dxa"/>
            <w:tcBorders>
              <w:top w:val="nil"/>
            </w:tcBorders>
            <w:shd w:val="clear" w:color="auto" w:fill="E7E7E7"/>
            <w:textDirection w:val="btLr"/>
          </w:tcPr>
          <w:p>
            <w:pPr>
              <w:pStyle w:val="TableParagraph"/>
              <w:spacing w:before="1"/>
              <w:rPr>
                <w:rFonts w:ascii="Arial"/>
                <w:sz w:val="24"/>
              </w:rPr>
            </w:pPr>
          </w:p>
          <w:p>
            <w:pPr>
              <w:pStyle w:val="TableParagraph"/>
              <w:spacing w:line="247" w:lineRule="auto"/>
              <w:ind w:left="462" w:right="215" w:hanging="94"/>
              <w:rPr>
                <w:sz w:val="24"/>
              </w:rPr>
            </w:pPr>
            <w:r>
              <w:rPr>
                <w:sz w:val="24"/>
              </w:rPr>
              <w:t>Bulgária (1966)</w:t>
            </w:r>
          </w:p>
        </w:tc>
        <w:tc>
          <w:tcPr>
            <w:tcW w:w="1135" w:type="dxa"/>
            <w:tcBorders>
              <w:top w:val="nil"/>
            </w:tcBorders>
            <w:shd w:val="clear" w:color="auto" w:fill="E7E7E7"/>
            <w:textDirection w:val="btLr"/>
          </w:tcPr>
          <w:p>
            <w:pPr>
              <w:pStyle w:val="TableParagraph"/>
              <w:spacing w:before="4"/>
              <w:rPr>
                <w:rFonts w:ascii="Arial"/>
                <w:sz w:val="24"/>
              </w:rPr>
            </w:pPr>
          </w:p>
          <w:p>
            <w:pPr>
              <w:pStyle w:val="TableParagraph"/>
              <w:ind w:left="522"/>
              <w:rPr>
                <w:sz w:val="24"/>
              </w:rPr>
            </w:pPr>
            <w:r>
              <w:rPr>
                <w:sz w:val="24"/>
              </w:rPr>
              <w:t>Água</w:t>
            </w:r>
          </w:p>
        </w:tc>
        <w:tc>
          <w:tcPr>
            <w:tcW w:w="4673" w:type="dxa"/>
            <w:gridSpan w:val="2"/>
            <w:tcBorders>
              <w:top w:val="nil"/>
            </w:tcBorders>
            <w:shd w:val="clear" w:color="auto" w:fill="E7E7E7"/>
          </w:tcPr>
          <w:p>
            <w:pPr>
              <w:pStyle w:val="TableParagraph"/>
              <w:ind w:left="362" w:right="343" w:hanging="2"/>
              <w:jc w:val="center"/>
              <w:rPr>
                <w:sz w:val="24"/>
              </w:rPr>
            </w:pPr>
            <w:r>
              <w:rPr>
                <w:sz w:val="24"/>
              </w:rPr>
              <w:t>Barragem que ajudava na produção de energia elétrica desmoronou. 450 mil m3 de água e lama vazaram. 107 pessoas morreram.</w:t>
            </w:r>
          </w:p>
        </w:tc>
      </w:tr>
      <w:tr>
        <w:trPr>
          <w:trHeight w:val="138" w:hRule="atLeast"/>
        </w:trPr>
        <w:tc>
          <w:tcPr>
            <w:tcW w:w="9060" w:type="dxa"/>
            <w:gridSpan w:val="5"/>
            <w:tcBorders>
              <w:left w:val="nil"/>
              <w:bottom w:val="nil"/>
              <w:right w:val="nil"/>
            </w:tcBorders>
            <w:shd w:val="clear" w:color="auto" w:fill="CACACA"/>
          </w:tcPr>
          <w:p>
            <w:pPr>
              <w:pStyle w:val="TableParagraph"/>
              <w:rPr>
                <w:sz w:val="8"/>
              </w:rPr>
            </w:pPr>
          </w:p>
        </w:tc>
      </w:tr>
      <w:tr>
        <w:trPr>
          <w:trHeight w:val="2185" w:hRule="atLeast"/>
        </w:trPr>
        <w:tc>
          <w:tcPr>
            <w:tcW w:w="1694" w:type="dxa"/>
            <w:tcBorders>
              <w:top w:val="nil"/>
            </w:tcBorders>
            <w:shd w:val="clear" w:color="auto" w:fill="CACACA"/>
            <w:textDirection w:val="btLr"/>
          </w:tcPr>
          <w:p>
            <w:pPr>
              <w:pStyle w:val="TableParagraph"/>
              <w:spacing w:before="1"/>
              <w:rPr>
                <w:rFonts w:ascii="Arial"/>
                <w:sz w:val="24"/>
              </w:rPr>
            </w:pPr>
          </w:p>
          <w:p>
            <w:pPr>
              <w:pStyle w:val="TableParagraph"/>
              <w:ind w:left="479"/>
              <w:rPr>
                <w:sz w:val="24"/>
              </w:rPr>
            </w:pPr>
            <w:r>
              <w:rPr>
                <w:sz w:val="24"/>
              </w:rPr>
              <w:t>Buffalo Creek</w:t>
            </w:r>
          </w:p>
        </w:tc>
        <w:tc>
          <w:tcPr>
            <w:tcW w:w="1558" w:type="dxa"/>
            <w:tcBorders>
              <w:top w:val="nil"/>
            </w:tcBorders>
            <w:shd w:val="clear" w:color="auto" w:fill="CACACA"/>
            <w:textDirection w:val="btLr"/>
          </w:tcPr>
          <w:p>
            <w:pPr>
              <w:pStyle w:val="TableParagraph"/>
              <w:spacing w:before="1"/>
              <w:rPr>
                <w:rFonts w:ascii="Arial"/>
                <w:sz w:val="24"/>
              </w:rPr>
            </w:pPr>
          </w:p>
          <w:p>
            <w:pPr>
              <w:pStyle w:val="TableParagraph"/>
              <w:spacing w:line="247" w:lineRule="auto"/>
              <w:ind w:left="328" w:right="190" w:firstLine="1"/>
              <w:jc w:val="center"/>
              <w:rPr>
                <w:sz w:val="24"/>
              </w:rPr>
            </w:pPr>
            <w:r>
              <w:rPr>
                <w:sz w:val="24"/>
              </w:rPr>
              <w:t>Estado de West Virginia, Estados</w:t>
            </w:r>
            <w:r>
              <w:rPr>
                <w:w w:val="99"/>
                <w:sz w:val="24"/>
              </w:rPr>
              <w:t> </w:t>
            </w:r>
            <w:r>
              <w:rPr>
                <w:sz w:val="24"/>
              </w:rPr>
              <w:t>Unidos (1972)</w:t>
            </w:r>
          </w:p>
        </w:tc>
        <w:tc>
          <w:tcPr>
            <w:tcW w:w="1135" w:type="dxa"/>
            <w:tcBorders>
              <w:top w:val="nil"/>
            </w:tcBorders>
            <w:shd w:val="clear" w:color="auto" w:fill="CACACA"/>
            <w:textDirection w:val="btLr"/>
          </w:tcPr>
          <w:p>
            <w:pPr>
              <w:pStyle w:val="TableParagraph"/>
              <w:spacing w:before="4"/>
              <w:rPr>
                <w:rFonts w:ascii="Arial"/>
                <w:sz w:val="24"/>
              </w:rPr>
            </w:pPr>
          </w:p>
          <w:p>
            <w:pPr>
              <w:pStyle w:val="TableParagraph"/>
              <w:spacing w:line="247" w:lineRule="auto"/>
              <w:ind w:left="697" w:right="231" w:hanging="310"/>
              <w:rPr>
                <w:sz w:val="24"/>
              </w:rPr>
            </w:pPr>
            <w:r>
              <w:rPr>
                <w:sz w:val="24"/>
              </w:rPr>
              <w:t>Água e resíduos de carvão</w:t>
            </w:r>
          </w:p>
        </w:tc>
        <w:tc>
          <w:tcPr>
            <w:tcW w:w="4673" w:type="dxa"/>
            <w:gridSpan w:val="2"/>
            <w:tcBorders>
              <w:top w:val="nil"/>
            </w:tcBorders>
            <w:shd w:val="clear" w:color="auto" w:fill="CACACA"/>
          </w:tcPr>
          <w:p>
            <w:pPr>
              <w:pStyle w:val="TableParagraph"/>
              <w:ind w:left="393" w:right="373"/>
              <w:jc w:val="center"/>
              <w:rPr>
                <w:sz w:val="24"/>
              </w:rPr>
            </w:pPr>
            <w:r>
              <w:rPr>
                <w:sz w:val="24"/>
              </w:rPr>
              <w:t>A barragem que continha resíduos de carvão desmoronou, despejando 500 mil m3 de pasta de carvão na região. 125 pessoas morreram.</w:t>
            </w:r>
          </w:p>
        </w:tc>
      </w:tr>
      <w:tr>
        <w:trPr>
          <w:trHeight w:val="138" w:hRule="atLeast"/>
        </w:trPr>
        <w:tc>
          <w:tcPr>
            <w:tcW w:w="9060" w:type="dxa"/>
            <w:gridSpan w:val="5"/>
            <w:tcBorders>
              <w:left w:val="nil"/>
              <w:bottom w:val="nil"/>
              <w:right w:val="nil"/>
            </w:tcBorders>
            <w:shd w:val="clear" w:color="auto" w:fill="E7E7E7"/>
          </w:tcPr>
          <w:p>
            <w:pPr>
              <w:pStyle w:val="TableParagraph"/>
              <w:rPr>
                <w:sz w:val="8"/>
              </w:rPr>
            </w:pPr>
          </w:p>
        </w:tc>
      </w:tr>
      <w:tr>
        <w:trPr>
          <w:trHeight w:val="2389" w:hRule="atLeast"/>
        </w:trPr>
        <w:tc>
          <w:tcPr>
            <w:tcW w:w="1694" w:type="dxa"/>
            <w:tcBorders>
              <w:top w:val="nil"/>
              <w:bottom w:val="single" w:sz="18" w:space="0" w:color="FFFFFF"/>
            </w:tcBorders>
            <w:shd w:val="clear" w:color="auto" w:fill="E7E7E7"/>
            <w:textDirection w:val="btLr"/>
          </w:tcPr>
          <w:p>
            <w:pPr>
              <w:pStyle w:val="TableParagraph"/>
              <w:spacing w:before="1"/>
              <w:rPr>
                <w:rFonts w:ascii="Arial"/>
                <w:sz w:val="24"/>
              </w:rPr>
            </w:pPr>
          </w:p>
          <w:p>
            <w:pPr>
              <w:pStyle w:val="TableParagraph"/>
              <w:spacing w:line="247" w:lineRule="auto"/>
              <w:ind w:left="704" w:right="552" w:firstLine="84"/>
              <w:rPr>
                <w:sz w:val="24"/>
              </w:rPr>
            </w:pPr>
            <w:r>
              <w:rPr>
                <w:sz w:val="24"/>
              </w:rPr>
              <w:t>Barragem Machchu II</w:t>
            </w:r>
          </w:p>
        </w:tc>
        <w:tc>
          <w:tcPr>
            <w:tcW w:w="1558" w:type="dxa"/>
            <w:tcBorders>
              <w:top w:val="nil"/>
              <w:bottom w:val="single" w:sz="18" w:space="0" w:color="FFFFFF"/>
            </w:tcBorders>
            <w:shd w:val="clear" w:color="auto" w:fill="E7E7E7"/>
            <w:textDirection w:val="btLr"/>
          </w:tcPr>
          <w:p>
            <w:pPr>
              <w:pStyle w:val="TableParagraph"/>
              <w:spacing w:before="1"/>
              <w:rPr>
                <w:rFonts w:ascii="Arial"/>
                <w:sz w:val="24"/>
              </w:rPr>
            </w:pPr>
          </w:p>
          <w:p>
            <w:pPr>
              <w:pStyle w:val="TableParagraph"/>
              <w:ind w:left="663"/>
              <w:rPr>
                <w:sz w:val="24"/>
              </w:rPr>
            </w:pPr>
            <w:r>
              <w:rPr>
                <w:sz w:val="24"/>
              </w:rPr>
              <w:t>Índia (1979)</w:t>
            </w:r>
          </w:p>
        </w:tc>
        <w:tc>
          <w:tcPr>
            <w:tcW w:w="1135" w:type="dxa"/>
            <w:tcBorders>
              <w:top w:val="nil"/>
              <w:bottom w:val="single" w:sz="18" w:space="0" w:color="FFFFFF"/>
            </w:tcBorders>
            <w:shd w:val="clear" w:color="auto" w:fill="E7E7E7"/>
            <w:textDirection w:val="btLr"/>
          </w:tcPr>
          <w:p>
            <w:pPr>
              <w:pStyle w:val="TableParagraph"/>
              <w:spacing w:before="4"/>
              <w:rPr>
                <w:rFonts w:ascii="Arial"/>
                <w:sz w:val="24"/>
              </w:rPr>
            </w:pPr>
          </w:p>
          <w:p>
            <w:pPr>
              <w:pStyle w:val="TableParagraph"/>
              <w:ind w:left="979" w:right="850"/>
              <w:jc w:val="center"/>
              <w:rPr>
                <w:sz w:val="24"/>
              </w:rPr>
            </w:pPr>
            <w:r>
              <w:rPr>
                <w:sz w:val="24"/>
              </w:rPr>
              <w:t>Água</w:t>
            </w:r>
          </w:p>
        </w:tc>
        <w:tc>
          <w:tcPr>
            <w:tcW w:w="4673" w:type="dxa"/>
            <w:gridSpan w:val="2"/>
            <w:tcBorders>
              <w:top w:val="nil"/>
              <w:bottom w:val="single" w:sz="18" w:space="0" w:color="FFFFFF"/>
            </w:tcBorders>
            <w:shd w:val="clear" w:color="auto" w:fill="E7E7E7"/>
          </w:tcPr>
          <w:p>
            <w:pPr>
              <w:pStyle w:val="TableParagraph"/>
              <w:ind w:left="290" w:right="268" w:hanging="3"/>
              <w:jc w:val="center"/>
              <w:rPr>
                <w:sz w:val="24"/>
              </w:rPr>
            </w:pPr>
            <w:r>
              <w:rPr>
                <w:sz w:val="24"/>
              </w:rPr>
              <w:t>O excesso de chuvas e inundações enfraqueceram as paredes da estrutura. Passados 20 minutos de dilúvio a</w:t>
            </w:r>
            <w:r>
              <w:rPr>
                <w:spacing w:val="-5"/>
                <w:sz w:val="24"/>
              </w:rPr>
              <w:t> </w:t>
            </w:r>
            <w:r>
              <w:rPr>
                <w:sz w:val="24"/>
              </w:rPr>
              <w:t>estrutura ruiu e ondas de cerca de dez metros de altura fluiram ao longo dos vales. Em pouco tempo toda a cidade de Morbi tinha desaparecido. Entre 1.800 e 15 mil pessoas</w:t>
            </w:r>
            <w:r>
              <w:rPr>
                <w:spacing w:val="-1"/>
                <w:sz w:val="24"/>
              </w:rPr>
              <w:t> </w:t>
            </w:r>
            <w:r>
              <w:rPr>
                <w:sz w:val="24"/>
              </w:rPr>
              <w:t>morreram.</w:t>
            </w:r>
          </w:p>
        </w:tc>
      </w:tr>
      <w:tr>
        <w:trPr>
          <w:trHeight w:val="136" w:hRule="atLeast"/>
        </w:trPr>
        <w:tc>
          <w:tcPr>
            <w:tcW w:w="9060" w:type="dxa"/>
            <w:gridSpan w:val="5"/>
            <w:tcBorders>
              <w:top w:val="single" w:sz="18" w:space="0" w:color="FFFFFF"/>
              <w:left w:val="nil"/>
              <w:bottom w:val="nil"/>
              <w:right w:val="nil"/>
            </w:tcBorders>
            <w:shd w:val="clear" w:color="auto" w:fill="E7E7E7"/>
          </w:tcPr>
          <w:p>
            <w:pPr>
              <w:pStyle w:val="TableParagraph"/>
              <w:rPr>
                <w:sz w:val="8"/>
              </w:rPr>
            </w:pPr>
          </w:p>
        </w:tc>
      </w:tr>
      <w:tr>
        <w:trPr>
          <w:trHeight w:val="3286" w:hRule="atLeast"/>
        </w:trPr>
        <w:tc>
          <w:tcPr>
            <w:tcW w:w="1694" w:type="dxa"/>
            <w:tcBorders>
              <w:top w:val="nil"/>
              <w:bottom w:val="nil"/>
            </w:tcBorders>
            <w:shd w:val="clear" w:color="auto" w:fill="E7E7E7"/>
            <w:textDirection w:val="btLr"/>
          </w:tcPr>
          <w:p>
            <w:pPr>
              <w:pStyle w:val="TableParagraph"/>
              <w:spacing w:before="1"/>
              <w:rPr>
                <w:rFonts w:ascii="Arial"/>
                <w:sz w:val="24"/>
              </w:rPr>
            </w:pPr>
          </w:p>
          <w:p>
            <w:pPr>
              <w:pStyle w:val="TableParagraph"/>
              <w:spacing w:line="247" w:lineRule="auto"/>
              <w:ind w:left="1115" w:right="511" w:hanging="447"/>
              <w:rPr>
                <w:sz w:val="24"/>
              </w:rPr>
            </w:pPr>
            <w:r>
              <w:rPr>
                <w:sz w:val="24"/>
              </w:rPr>
              <w:t>Reservatório Banqiao e Shimantan</w:t>
            </w:r>
          </w:p>
        </w:tc>
        <w:tc>
          <w:tcPr>
            <w:tcW w:w="1558" w:type="dxa"/>
            <w:tcBorders>
              <w:top w:val="nil"/>
              <w:bottom w:val="nil"/>
            </w:tcBorders>
            <w:shd w:val="clear" w:color="auto" w:fill="E7E7E7"/>
            <w:textDirection w:val="btLr"/>
          </w:tcPr>
          <w:p>
            <w:pPr>
              <w:pStyle w:val="TableParagraph"/>
              <w:spacing w:before="1"/>
              <w:rPr>
                <w:rFonts w:ascii="Arial"/>
                <w:sz w:val="24"/>
              </w:rPr>
            </w:pPr>
          </w:p>
          <w:p>
            <w:pPr>
              <w:pStyle w:val="TableParagraph"/>
              <w:ind w:left="1075"/>
              <w:rPr>
                <w:sz w:val="24"/>
              </w:rPr>
            </w:pPr>
            <w:r>
              <w:rPr>
                <w:sz w:val="24"/>
              </w:rPr>
              <w:t>China (1975)</w:t>
            </w:r>
          </w:p>
        </w:tc>
        <w:tc>
          <w:tcPr>
            <w:tcW w:w="1276" w:type="dxa"/>
            <w:gridSpan w:val="2"/>
            <w:tcBorders>
              <w:top w:val="nil"/>
              <w:bottom w:val="nil"/>
            </w:tcBorders>
            <w:shd w:val="clear" w:color="auto" w:fill="E7E7E7"/>
            <w:textDirection w:val="btLr"/>
          </w:tcPr>
          <w:p>
            <w:pPr>
              <w:pStyle w:val="TableParagraph"/>
              <w:spacing w:before="4"/>
              <w:rPr>
                <w:rFonts w:ascii="Arial"/>
                <w:sz w:val="24"/>
              </w:rPr>
            </w:pPr>
          </w:p>
          <w:p>
            <w:pPr>
              <w:pStyle w:val="TableParagraph"/>
              <w:ind w:left="1432" w:right="1293"/>
              <w:jc w:val="center"/>
              <w:rPr>
                <w:sz w:val="24"/>
              </w:rPr>
            </w:pPr>
            <w:r>
              <w:rPr>
                <w:sz w:val="24"/>
              </w:rPr>
              <w:t>Água</w:t>
            </w:r>
          </w:p>
        </w:tc>
        <w:tc>
          <w:tcPr>
            <w:tcW w:w="4532" w:type="dxa"/>
            <w:tcBorders>
              <w:top w:val="nil"/>
              <w:bottom w:val="nil"/>
            </w:tcBorders>
            <w:shd w:val="clear" w:color="auto" w:fill="E7E7E7"/>
          </w:tcPr>
          <w:p>
            <w:pPr>
              <w:pStyle w:val="TableParagraph"/>
              <w:ind w:left="315" w:right="296" w:firstLine="1"/>
              <w:jc w:val="center"/>
              <w:rPr>
                <w:sz w:val="24"/>
              </w:rPr>
            </w:pPr>
            <w:r>
              <w:rPr>
                <w:sz w:val="24"/>
              </w:rPr>
              <w:t>A barragem conhecida popularmente como "Barragem de Ferro", entrou em colapso após a passagem do tufão. A quantidade de água esperada para o ano inteiro choveu em apenas 24 horas. O nível da represa subiu e as comportas não foram capazes de segurar a pressão da água, e uma gigantesca inundação devastou tudo. Um total de 1,7 bilhão de m3 de água vazou descontroladamente. Cerca de 171 mil pessoas morreram.</w:t>
            </w:r>
          </w:p>
        </w:tc>
      </w:tr>
    </w:tbl>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17"/>
        </w:rPr>
      </w:pPr>
      <w:r>
        <w:rPr/>
        <w:pict>
          <v:shape style="position:absolute;margin-left:475.660004pt;margin-top:10.97893pt;width:40.450pt;height:55.95pt;mso-position-horizontal-relative:page;mso-position-vertical-relative:paragraph;z-index:1760;mso-wrap-distance-left:0;mso-wrap-distance-right:0" type="#_x0000_t202" filled="true" fillcolor="#6fac46" stroked="false">
            <v:textbox inset="0,0,0,0">
              <w:txbxContent>
                <w:p>
                  <w:pPr>
                    <w:pStyle w:val="BodyText"/>
                    <w:spacing w:before="10"/>
                    <w:rPr>
                      <w:rFonts w:ascii="Arial"/>
                      <w:sz w:val="29"/>
                    </w:rPr>
                  </w:pPr>
                </w:p>
                <w:p>
                  <w:pPr>
                    <w:spacing w:before="0"/>
                    <w:ind w:left="220" w:right="0" w:firstLine="0"/>
                    <w:jc w:val="left"/>
                    <w:rPr>
                      <w:rFonts w:ascii="Arial"/>
                      <w:sz w:val="36"/>
                    </w:rPr>
                  </w:pPr>
                  <w:r>
                    <w:rPr>
                      <w:rFonts w:ascii="Arial"/>
                      <w:color w:val="FFFFFF"/>
                      <w:sz w:val="36"/>
                    </w:rPr>
                    <w:t>30</w:t>
                  </w:r>
                </w:p>
              </w:txbxContent>
            </v:textbox>
            <v:fill type="solid"/>
            <w10:wrap type="topAndBottom"/>
          </v:shape>
        </w:pict>
      </w:r>
    </w:p>
    <w:p>
      <w:pPr>
        <w:spacing w:after="0"/>
        <w:rPr>
          <w:rFonts w:ascii="Arial"/>
          <w:sz w:val="17"/>
        </w:rPr>
        <w:sectPr>
          <w:type w:val="continuous"/>
          <w:pgSz w:w="11910" w:h="16840"/>
          <w:pgMar w:top="0" w:bottom="280" w:left="0" w:right="0"/>
        </w:sectPr>
      </w:pPr>
    </w:p>
    <w:p>
      <w:pPr>
        <w:pStyle w:val="BodyText"/>
        <w:rPr>
          <w:rFonts w:ascii="Arial"/>
          <w:sz w:val="20"/>
        </w:rPr>
      </w:pPr>
    </w:p>
    <w:p>
      <w:pPr>
        <w:pStyle w:val="BodyText"/>
        <w:rPr>
          <w:rFonts w:ascii="Arial"/>
          <w:sz w:val="20"/>
        </w:rPr>
      </w:pPr>
    </w:p>
    <w:p>
      <w:pPr>
        <w:pStyle w:val="BodyText"/>
        <w:spacing w:before="1"/>
        <w:rPr>
          <w:rFonts w:ascii="Arial"/>
          <w:sz w:val="18"/>
        </w:rPr>
      </w:pPr>
    </w:p>
    <w:p>
      <w:pPr>
        <w:spacing w:after="0"/>
        <w:rPr>
          <w:rFonts w:ascii="Arial"/>
          <w:sz w:val="18"/>
        </w:rPr>
        <w:sectPr>
          <w:pgSz w:w="11910" w:h="16840"/>
          <w:pgMar w:top="0" w:bottom="0" w:left="0" w:right="0"/>
        </w:sectPr>
      </w:pPr>
    </w:p>
    <w:p>
      <w:pPr>
        <w:pStyle w:val="Heading1"/>
        <w:spacing w:line="172" w:lineRule="auto"/>
      </w:pPr>
      <w:r>
        <w:rPr/>
        <w:drawing>
          <wp:anchor distT="0" distB="0" distL="0" distR="0" allowOverlap="1" layoutInCell="1" locked="0" behindDoc="0" simplePos="0" relativeHeight="3904">
            <wp:simplePos x="0" y="0"/>
            <wp:positionH relativeFrom="page">
              <wp:posOffset>979932</wp:posOffset>
            </wp:positionH>
            <wp:positionV relativeFrom="paragraph">
              <wp:posOffset>-9589</wp:posOffset>
            </wp:positionV>
            <wp:extent cx="1478280" cy="612648"/>
            <wp:effectExtent l="0" t="0" r="0" b="0"/>
            <wp:wrapNone/>
            <wp:docPr id="133" name="image8.png" descr=""/>
            <wp:cNvGraphicFramePr>
              <a:graphicFrameLocks noChangeAspect="1"/>
            </wp:cNvGraphicFramePr>
            <a:graphic>
              <a:graphicData uri="http://schemas.openxmlformats.org/drawingml/2006/picture">
                <pic:pic>
                  <pic:nvPicPr>
                    <pic:cNvPr id="134" name="image8.png"/>
                    <pic:cNvPicPr/>
                  </pic:nvPicPr>
                  <pic:blipFill>
                    <a:blip r:embed="rId12" cstate="print"/>
                    <a:stretch>
                      <a:fillRect/>
                    </a:stretch>
                  </pic:blipFill>
                  <pic:spPr>
                    <a:xfrm>
                      <a:off x="0" y="0"/>
                      <a:ext cx="1478280" cy="612648"/>
                    </a:xfrm>
                    <a:prstGeom prst="rect">
                      <a:avLst/>
                    </a:prstGeom>
                  </pic:spPr>
                </pic:pic>
              </a:graphicData>
            </a:graphic>
          </wp:anchor>
        </w:drawing>
      </w:r>
      <w:r>
        <w:rPr>
          <w:color w:val="385522"/>
        </w:rPr>
        <w:t>meio </w:t>
      </w:r>
      <w:r>
        <w:rPr>
          <w:color w:val="385522"/>
          <w:w w:val="95"/>
        </w:rPr>
        <w:t>ambiente</w:t>
      </w:r>
    </w:p>
    <w:p>
      <w:pPr>
        <w:spacing w:before="60"/>
        <w:ind w:left="455" w:right="0" w:firstLine="0"/>
        <w:jc w:val="left"/>
        <w:rPr>
          <w:rFonts w:ascii="Arial" w:hAnsi="Arial"/>
          <w:sz w:val="22"/>
        </w:rPr>
      </w:pPr>
      <w:r>
        <w:rPr/>
        <w:br w:type="column"/>
      </w:r>
      <w:r>
        <w:rPr>
          <w:rFonts w:ascii="Arial" w:hAnsi="Arial"/>
          <w:color w:val="385522"/>
          <w:sz w:val="22"/>
        </w:rPr>
        <w:t>Plano Municipal de Segurança de Barragens-PMSB</w:t>
      </w:r>
    </w:p>
    <w:p>
      <w:pPr>
        <w:spacing w:after="0"/>
        <w:jc w:val="left"/>
        <w:rPr>
          <w:rFonts w:ascii="Arial" w:hAnsi="Arial"/>
          <w:sz w:val="22"/>
        </w:rPr>
        <w:sectPr>
          <w:type w:val="continuous"/>
          <w:pgSz w:w="11910" w:h="16840"/>
          <w:pgMar w:top="0" w:bottom="280" w:left="0" w:right="0"/>
          <w:cols w:num="2" w:equalWidth="0">
            <w:col w:w="5155" w:space="77"/>
            <w:col w:w="6678"/>
          </w:cols>
        </w:sectPr>
      </w:pPr>
    </w:p>
    <w:p>
      <w:pPr>
        <w:pStyle w:val="BodyText"/>
        <w:rPr>
          <w:rFonts w:ascii="Arial"/>
          <w:sz w:val="20"/>
        </w:rPr>
      </w:pPr>
      <w:r>
        <w:rPr/>
        <w:drawing>
          <wp:anchor distT="0" distB="0" distL="0" distR="0" allowOverlap="1" layoutInCell="1" locked="0" behindDoc="0" simplePos="0" relativeHeight="3928">
            <wp:simplePos x="0" y="0"/>
            <wp:positionH relativeFrom="page">
              <wp:posOffset>288925</wp:posOffset>
            </wp:positionH>
            <wp:positionV relativeFrom="page">
              <wp:posOffset>634</wp:posOffset>
            </wp:positionV>
            <wp:extent cx="474344" cy="10691748"/>
            <wp:effectExtent l="0" t="0" r="0" b="0"/>
            <wp:wrapNone/>
            <wp:docPr id="135" name="image9.png" descr=""/>
            <wp:cNvGraphicFramePr>
              <a:graphicFrameLocks noChangeAspect="1"/>
            </wp:cNvGraphicFramePr>
            <a:graphic>
              <a:graphicData uri="http://schemas.openxmlformats.org/drawingml/2006/picture">
                <pic:pic>
                  <pic:nvPicPr>
                    <pic:cNvPr id="136" name="image9.png"/>
                    <pic:cNvPicPr/>
                  </pic:nvPicPr>
                  <pic:blipFill>
                    <a:blip r:embed="rId13" cstate="print"/>
                    <a:stretch>
                      <a:fillRect/>
                    </a:stretch>
                  </pic:blipFill>
                  <pic:spPr>
                    <a:xfrm>
                      <a:off x="0" y="0"/>
                      <a:ext cx="474344" cy="10691748"/>
                    </a:xfrm>
                    <a:prstGeom prst="rect">
                      <a:avLst/>
                    </a:prstGeom>
                  </pic:spPr>
                </pic:pic>
              </a:graphicData>
            </a:graphic>
          </wp:anchor>
        </w:drawing>
      </w:r>
    </w:p>
    <w:p>
      <w:pPr>
        <w:pStyle w:val="BodyText"/>
        <w:rPr>
          <w:rFonts w:ascii="Arial"/>
          <w:sz w:val="20"/>
        </w:rPr>
      </w:pPr>
    </w:p>
    <w:p>
      <w:pPr>
        <w:pStyle w:val="BodyText"/>
        <w:spacing w:before="10"/>
        <w:rPr>
          <w:rFonts w:ascii="Arial"/>
        </w:rPr>
      </w:pPr>
    </w:p>
    <w:tbl>
      <w:tblPr>
        <w:tblW w:w="0" w:type="auto"/>
        <w:jc w:val="left"/>
        <w:tblInd w:w="142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0" w:type="dxa"/>
          <w:left w:w="0" w:type="dxa"/>
          <w:bottom w:w="0" w:type="dxa"/>
          <w:right w:w="0" w:type="dxa"/>
        </w:tblCellMar>
        <w:tblLook w:val="01E0"/>
      </w:tblPr>
      <w:tblGrid>
        <w:gridCol w:w="1694"/>
        <w:gridCol w:w="1558"/>
        <w:gridCol w:w="1277"/>
        <w:gridCol w:w="4532"/>
      </w:tblGrid>
      <w:tr>
        <w:trPr>
          <w:trHeight w:val="1854" w:hRule="atLeast"/>
        </w:trPr>
        <w:tc>
          <w:tcPr>
            <w:tcW w:w="1694" w:type="dxa"/>
            <w:tcBorders>
              <w:top w:val="nil"/>
            </w:tcBorders>
            <w:shd w:val="clear" w:color="auto" w:fill="CACACA"/>
            <w:textDirection w:val="btLr"/>
          </w:tcPr>
          <w:p>
            <w:pPr>
              <w:pStyle w:val="TableParagraph"/>
              <w:spacing w:before="1"/>
              <w:rPr>
                <w:rFonts w:ascii="Arial"/>
                <w:sz w:val="24"/>
              </w:rPr>
            </w:pPr>
          </w:p>
          <w:p>
            <w:pPr>
              <w:pStyle w:val="TableParagraph"/>
              <w:spacing w:line="247" w:lineRule="auto"/>
              <w:ind w:left="297" w:firstLine="14"/>
              <w:rPr>
                <w:sz w:val="24"/>
              </w:rPr>
            </w:pPr>
            <w:r>
              <w:rPr>
                <w:sz w:val="24"/>
              </w:rPr>
              <w:t>Barragem de Kelly Barnes</w:t>
            </w:r>
          </w:p>
        </w:tc>
        <w:tc>
          <w:tcPr>
            <w:tcW w:w="1558" w:type="dxa"/>
            <w:tcBorders>
              <w:top w:val="nil"/>
            </w:tcBorders>
            <w:shd w:val="clear" w:color="auto" w:fill="CACACA"/>
            <w:textDirection w:val="btLr"/>
          </w:tcPr>
          <w:p>
            <w:pPr>
              <w:pStyle w:val="TableParagraph"/>
              <w:spacing w:before="1"/>
              <w:rPr>
                <w:rFonts w:ascii="Arial"/>
                <w:sz w:val="24"/>
              </w:rPr>
            </w:pPr>
          </w:p>
          <w:p>
            <w:pPr>
              <w:pStyle w:val="TableParagraph"/>
              <w:spacing w:line="247" w:lineRule="auto"/>
              <w:ind w:left="580" w:right="552" w:hanging="27"/>
              <w:jc w:val="both"/>
              <w:rPr>
                <w:sz w:val="24"/>
              </w:rPr>
            </w:pPr>
            <w:r>
              <w:rPr>
                <w:sz w:val="24"/>
              </w:rPr>
              <w:t>Estados Unidos (1977)</w:t>
            </w:r>
          </w:p>
        </w:tc>
        <w:tc>
          <w:tcPr>
            <w:tcW w:w="1277" w:type="dxa"/>
            <w:tcBorders>
              <w:top w:val="nil"/>
            </w:tcBorders>
            <w:shd w:val="clear" w:color="auto" w:fill="CACACA"/>
            <w:textDirection w:val="btLr"/>
          </w:tcPr>
          <w:p>
            <w:pPr>
              <w:pStyle w:val="TableParagraph"/>
              <w:spacing w:before="4"/>
              <w:rPr>
                <w:rFonts w:ascii="Arial"/>
                <w:sz w:val="24"/>
              </w:rPr>
            </w:pPr>
          </w:p>
          <w:p>
            <w:pPr>
              <w:pStyle w:val="TableParagraph"/>
              <w:ind w:left="646" w:right="647"/>
              <w:jc w:val="center"/>
              <w:rPr>
                <w:sz w:val="24"/>
              </w:rPr>
            </w:pPr>
            <w:r>
              <w:rPr>
                <w:sz w:val="24"/>
              </w:rPr>
              <w:t>Água</w:t>
            </w:r>
          </w:p>
        </w:tc>
        <w:tc>
          <w:tcPr>
            <w:tcW w:w="4532" w:type="dxa"/>
            <w:tcBorders>
              <w:top w:val="nil"/>
            </w:tcBorders>
            <w:shd w:val="clear" w:color="auto" w:fill="CACACA"/>
          </w:tcPr>
          <w:p>
            <w:pPr>
              <w:pStyle w:val="TableParagraph"/>
              <w:spacing w:before="131"/>
              <w:ind w:left="275" w:right="257"/>
              <w:jc w:val="both"/>
              <w:rPr>
                <w:sz w:val="24"/>
              </w:rPr>
            </w:pPr>
            <w:r>
              <w:rPr>
                <w:sz w:val="24"/>
              </w:rPr>
              <w:t>Após fortes chuvas e inundações, 777 mil m3 de água vazaram da barragem e provocaram um enorme dano ambiental à região, além de terem deixado 39 mortos.</w:t>
            </w:r>
          </w:p>
        </w:tc>
      </w:tr>
      <w:tr>
        <w:trPr>
          <w:trHeight w:val="139" w:hRule="atLeast"/>
        </w:trPr>
        <w:tc>
          <w:tcPr>
            <w:tcW w:w="9061" w:type="dxa"/>
            <w:gridSpan w:val="4"/>
            <w:tcBorders>
              <w:left w:val="nil"/>
              <w:bottom w:val="nil"/>
              <w:right w:val="nil"/>
            </w:tcBorders>
            <w:shd w:val="clear" w:color="auto" w:fill="E7E7E7"/>
          </w:tcPr>
          <w:p>
            <w:pPr>
              <w:pStyle w:val="TableParagraph"/>
              <w:rPr>
                <w:sz w:val="8"/>
              </w:rPr>
            </w:pPr>
          </w:p>
        </w:tc>
      </w:tr>
      <w:tr>
        <w:trPr>
          <w:trHeight w:val="2495" w:hRule="atLeast"/>
        </w:trPr>
        <w:tc>
          <w:tcPr>
            <w:tcW w:w="1694" w:type="dxa"/>
            <w:tcBorders>
              <w:top w:val="nil"/>
            </w:tcBorders>
            <w:shd w:val="clear" w:color="auto" w:fill="E7E7E7"/>
            <w:textDirection w:val="btLr"/>
          </w:tcPr>
          <w:p>
            <w:pPr>
              <w:pStyle w:val="TableParagraph"/>
              <w:spacing w:before="1"/>
              <w:rPr>
                <w:rFonts w:ascii="Arial"/>
                <w:sz w:val="24"/>
              </w:rPr>
            </w:pPr>
          </w:p>
          <w:p>
            <w:pPr>
              <w:pStyle w:val="TableParagraph"/>
              <w:spacing w:line="247" w:lineRule="auto"/>
              <w:ind w:left="760" w:right="602" w:firstLine="84"/>
              <w:rPr>
                <w:sz w:val="24"/>
              </w:rPr>
            </w:pPr>
            <w:r>
              <w:rPr>
                <w:sz w:val="24"/>
              </w:rPr>
              <w:t>Barragem Machchu II</w:t>
            </w:r>
          </w:p>
        </w:tc>
        <w:tc>
          <w:tcPr>
            <w:tcW w:w="1558" w:type="dxa"/>
            <w:tcBorders>
              <w:top w:val="nil"/>
            </w:tcBorders>
            <w:shd w:val="clear" w:color="auto" w:fill="E7E7E7"/>
            <w:textDirection w:val="btLr"/>
          </w:tcPr>
          <w:p>
            <w:pPr>
              <w:pStyle w:val="TableParagraph"/>
              <w:spacing w:before="1"/>
              <w:rPr>
                <w:rFonts w:ascii="Arial"/>
                <w:sz w:val="24"/>
              </w:rPr>
            </w:pPr>
          </w:p>
          <w:p>
            <w:pPr>
              <w:pStyle w:val="TableParagraph"/>
              <w:ind w:left="719"/>
              <w:rPr>
                <w:sz w:val="24"/>
              </w:rPr>
            </w:pPr>
            <w:r>
              <w:rPr>
                <w:sz w:val="24"/>
              </w:rPr>
              <w:t>Índia (1979)</w:t>
            </w:r>
          </w:p>
        </w:tc>
        <w:tc>
          <w:tcPr>
            <w:tcW w:w="1277" w:type="dxa"/>
            <w:tcBorders>
              <w:top w:val="nil"/>
            </w:tcBorders>
            <w:shd w:val="clear" w:color="auto" w:fill="E7E7E7"/>
            <w:textDirection w:val="btLr"/>
          </w:tcPr>
          <w:p>
            <w:pPr>
              <w:pStyle w:val="TableParagraph"/>
              <w:spacing w:before="4"/>
              <w:rPr>
                <w:rFonts w:ascii="Arial"/>
                <w:sz w:val="24"/>
              </w:rPr>
            </w:pPr>
          </w:p>
          <w:p>
            <w:pPr>
              <w:pStyle w:val="TableParagraph"/>
              <w:ind w:left="1035" w:right="899"/>
              <w:jc w:val="center"/>
              <w:rPr>
                <w:sz w:val="24"/>
              </w:rPr>
            </w:pPr>
            <w:r>
              <w:rPr>
                <w:sz w:val="24"/>
              </w:rPr>
              <w:t>Água</w:t>
            </w:r>
          </w:p>
        </w:tc>
        <w:tc>
          <w:tcPr>
            <w:tcW w:w="4532" w:type="dxa"/>
            <w:tcBorders>
              <w:top w:val="nil"/>
            </w:tcBorders>
            <w:shd w:val="clear" w:color="auto" w:fill="E7E7E7"/>
          </w:tcPr>
          <w:p>
            <w:pPr>
              <w:pStyle w:val="TableParagraph"/>
              <w:ind w:left="275" w:right="259"/>
              <w:jc w:val="both"/>
              <w:rPr>
                <w:sz w:val="24"/>
              </w:rPr>
            </w:pPr>
            <w:r>
              <w:rPr>
                <w:sz w:val="24"/>
              </w:rPr>
              <w:t>O excesso de chuvas e inundações enfraqueceram as paredes da estrutura. Passados 20 minutos de dilúvio a estrutura ruiu e ondas de cerca de dez metros de altura fluiram ao longo dos vales. Em pouco tempo toda a cidade de Morbi tinha desaparecido. Entre 1.800 e 15 mil pessoas morreram.</w:t>
            </w:r>
          </w:p>
        </w:tc>
      </w:tr>
      <w:tr>
        <w:trPr>
          <w:trHeight w:val="138" w:hRule="atLeast"/>
        </w:trPr>
        <w:tc>
          <w:tcPr>
            <w:tcW w:w="9061" w:type="dxa"/>
            <w:gridSpan w:val="4"/>
            <w:tcBorders>
              <w:left w:val="nil"/>
              <w:bottom w:val="nil"/>
              <w:right w:val="nil"/>
            </w:tcBorders>
            <w:shd w:val="clear" w:color="auto" w:fill="CACACA"/>
          </w:tcPr>
          <w:p>
            <w:pPr>
              <w:pStyle w:val="TableParagraph"/>
              <w:rPr>
                <w:sz w:val="8"/>
              </w:rPr>
            </w:pPr>
          </w:p>
        </w:tc>
      </w:tr>
      <w:tr>
        <w:trPr>
          <w:trHeight w:val="1682" w:hRule="atLeast"/>
        </w:trPr>
        <w:tc>
          <w:tcPr>
            <w:tcW w:w="1694" w:type="dxa"/>
            <w:tcBorders>
              <w:top w:val="nil"/>
            </w:tcBorders>
            <w:shd w:val="clear" w:color="auto" w:fill="CACACA"/>
            <w:textDirection w:val="btLr"/>
          </w:tcPr>
          <w:p>
            <w:pPr>
              <w:pStyle w:val="TableParagraph"/>
              <w:spacing w:before="1"/>
              <w:rPr>
                <w:rFonts w:ascii="Arial"/>
                <w:sz w:val="24"/>
              </w:rPr>
            </w:pPr>
          </w:p>
          <w:p>
            <w:pPr>
              <w:pStyle w:val="TableParagraph"/>
              <w:ind w:left="477"/>
              <w:rPr>
                <w:sz w:val="24"/>
              </w:rPr>
            </w:pPr>
            <w:r>
              <w:rPr>
                <w:sz w:val="24"/>
              </w:rPr>
              <w:t>Shakidor</w:t>
            </w:r>
          </w:p>
        </w:tc>
        <w:tc>
          <w:tcPr>
            <w:tcW w:w="1558" w:type="dxa"/>
            <w:tcBorders>
              <w:top w:val="nil"/>
            </w:tcBorders>
            <w:shd w:val="clear" w:color="auto" w:fill="CACACA"/>
            <w:textDirection w:val="btLr"/>
          </w:tcPr>
          <w:p>
            <w:pPr>
              <w:pStyle w:val="TableParagraph"/>
              <w:spacing w:before="1"/>
              <w:rPr>
                <w:rFonts w:ascii="Arial"/>
                <w:sz w:val="24"/>
              </w:rPr>
            </w:pPr>
          </w:p>
          <w:p>
            <w:pPr>
              <w:pStyle w:val="TableParagraph"/>
              <w:spacing w:line="247" w:lineRule="auto"/>
              <w:ind w:left="589" w:right="286" w:hanging="147"/>
              <w:rPr>
                <w:sz w:val="24"/>
              </w:rPr>
            </w:pPr>
            <w:r>
              <w:rPr>
                <w:sz w:val="24"/>
              </w:rPr>
              <w:t>Paquistão (2005)</w:t>
            </w:r>
          </w:p>
        </w:tc>
        <w:tc>
          <w:tcPr>
            <w:tcW w:w="1277" w:type="dxa"/>
            <w:tcBorders>
              <w:top w:val="nil"/>
            </w:tcBorders>
            <w:shd w:val="clear" w:color="auto" w:fill="CACACA"/>
            <w:textDirection w:val="btLr"/>
          </w:tcPr>
          <w:p>
            <w:pPr>
              <w:pStyle w:val="TableParagraph"/>
              <w:spacing w:before="4"/>
              <w:rPr>
                <w:rFonts w:ascii="Arial"/>
                <w:sz w:val="24"/>
              </w:rPr>
            </w:pPr>
          </w:p>
          <w:p>
            <w:pPr>
              <w:pStyle w:val="TableParagraph"/>
              <w:ind w:left="649"/>
              <w:rPr>
                <w:sz w:val="24"/>
              </w:rPr>
            </w:pPr>
            <w:r>
              <w:rPr>
                <w:sz w:val="24"/>
              </w:rPr>
              <w:t>Água</w:t>
            </w:r>
          </w:p>
        </w:tc>
        <w:tc>
          <w:tcPr>
            <w:tcW w:w="4532" w:type="dxa"/>
            <w:tcBorders>
              <w:top w:val="nil"/>
            </w:tcBorders>
            <w:shd w:val="clear" w:color="auto" w:fill="CACACA"/>
          </w:tcPr>
          <w:p>
            <w:pPr>
              <w:pStyle w:val="TableParagraph"/>
              <w:ind w:left="275" w:right="259"/>
              <w:jc w:val="both"/>
              <w:rPr>
                <w:sz w:val="24"/>
              </w:rPr>
            </w:pPr>
            <w:r>
              <w:rPr>
                <w:sz w:val="24"/>
              </w:rPr>
              <w:t>Devido ao excesso de chuvas e inundações, a estrutura construída em 2003 para fornecer água para a irrigação desmoronou , arrastando casas e até vilas diretamente para o Mar da Arábia.</w:t>
            </w:r>
          </w:p>
        </w:tc>
      </w:tr>
      <w:tr>
        <w:trPr>
          <w:trHeight w:val="138" w:hRule="atLeast"/>
        </w:trPr>
        <w:tc>
          <w:tcPr>
            <w:tcW w:w="9061" w:type="dxa"/>
            <w:gridSpan w:val="4"/>
            <w:tcBorders>
              <w:left w:val="nil"/>
              <w:bottom w:val="nil"/>
              <w:right w:val="nil"/>
            </w:tcBorders>
            <w:shd w:val="clear" w:color="auto" w:fill="E7E7E7"/>
          </w:tcPr>
          <w:p>
            <w:pPr>
              <w:pStyle w:val="TableParagraph"/>
              <w:rPr>
                <w:sz w:val="8"/>
              </w:rPr>
            </w:pPr>
          </w:p>
        </w:tc>
      </w:tr>
      <w:tr>
        <w:trPr>
          <w:trHeight w:val="1694" w:hRule="atLeast"/>
        </w:trPr>
        <w:tc>
          <w:tcPr>
            <w:tcW w:w="1694" w:type="dxa"/>
            <w:tcBorders>
              <w:top w:val="nil"/>
            </w:tcBorders>
            <w:shd w:val="clear" w:color="auto" w:fill="E7E7E7"/>
            <w:textDirection w:val="btLr"/>
          </w:tcPr>
          <w:p>
            <w:pPr>
              <w:pStyle w:val="TableParagraph"/>
              <w:spacing w:before="1"/>
              <w:rPr>
                <w:rFonts w:ascii="Arial"/>
                <w:sz w:val="24"/>
              </w:rPr>
            </w:pPr>
          </w:p>
          <w:p>
            <w:pPr>
              <w:pStyle w:val="TableParagraph"/>
              <w:spacing w:line="247" w:lineRule="auto"/>
              <w:ind w:left="277" w:right="123" w:firstLine="242"/>
              <w:rPr>
                <w:sz w:val="24"/>
              </w:rPr>
            </w:pPr>
            <w:r>
              <w:rPr>
                <w:sz w:val="24"/>
              </w:rPr>
              <w:t>Mina de Fernandinho.</w:t>
            </w:r>
          </w:p>
        </w:tc>
        <w:tc>
          <w:tcPr>
            <w:tcW w:w="1558" w:type="dxa"/>
            <w:tcBorders>
              <w:top w:val="nil"/>
            </w:tcBorders>
            <w:shd w:val="clear" w:color="auto" w:fill="E7E7E7"/>
            <w:textDirection w:val="btLr"/>
          </w:tcPr>
          <w:p>
            <w:pPr>
              <w:pStyle w:val="TableParagraph"/>
              <w:spacing w:before="1"/>
              <w:rPr>
                <w:rFonts w:ascii="Arial"/>
                <w:sz w:val="24"/>
              </w:rPr>
            </w:pPr>
          </w:p>
          <w:p>
            <w:pPr>
              <w:pStyle w:val="TableParagraph"/>
              <w:spacing w:line="247" w:lineRule="auto"/>
              <w:ind w:left="252" w:right="115"/>
              <w:jc w:val="center"/>
              <w:rPr>
                <w:sz w:val="24"/>
              </w:rPr>
            </w:pPr>
            <w:r>
              <w:rPr>
                <w:sz w:val="24"/>
              </w:rPr>
              <w:t>Itabirito, Minas Gerais</w:t>
            </w:r>
            <w:r>
              <w:rPr>
                <w:w w:val="99"/>
                <w:sz w:val="24"/>
              </w:rPr>
              <w:t> </w:t>
            </w:r>
            <w:r>
              <w:rPr>
                <w:sz w:val="24"/>
              </w:rPr>
              <w:t>(1987)</w:t>
            </w:r>
          </w:p>
        </w:tc>
        <w:tc>
          <w:tcPr>
            <w:tcW w:w="1277" w:type="dxa"/>
            <w:tcBorders>
              <w:top w:val="nil"/>
            </w:tcBorders>
            <w:shd w:val="clear" w:color="auto" w:fill="E7E7E7"/>
            <w:textDirection w:val="btLr"/>
          </w:tcPr>
          <w:p>
            <w:pPr>
              <w:pStyle w:val="TableParagraph"/>
              <w:spacing w:before="4"/>
              <w:rPr>
                <w:rFonts w:ascii="Arial"/>
                <w:sz w:val="24"/>
              </w:rPr>
            </w:pPr>
          </w:p>
          <w:p>
            <w:pPr>
              <w:pStyle w:val="TableParagraph"/>
              <w:spacing w:line="247" w:lineRule="auto"/>
              <w:ind w:left="273" w:right="134" w:firstLine="2"/>
              <w:jc w:val="center"/>
              <w:rPr>
                <w:sz w:val="24"/>
              </w:rPr>
            </w:pPr>
            <w:r>
              <w:rPr>
                <w:sz w:val="24"/>
              </w:rPr>
              <w:t>Rejeito de mineração de ferro.</w:t>
            </w:r>
          </w:p>
        </w:tc>
        <w:tc>
          <w:tcPr>
            <w:tcW w:w="4532" w:type="dxa"/>
            <w:tcBorders>
              <w:top w:val="nil"/>
            </w:tcBorders>
            <w:shd w:val="clear" w:color="auto" w:fill="E7E7E7"/>
          </w:tcPr>
          <w:p>
            <w:pPr>
              <w:pStyle w:val="TableParagraph"/>
              <w:ind w:left="275" w:right="256"/>
              <w:jc w:val="both"/>
              <w:rPr>
                <w:sz w:val="24"/>
              </w:rPr>
            </w:pPr>
            <w:r>
              <w:rPr>
                <w:sz w:val="24"/>
              </w:rPr>
              <w:t>É o registro mais antigo desse tipo de acidente no Estado de Minas Gerias.  Sete pessoas</w:t>
            </w:r>
            <w:r>
              <w:rPr>
                <w:spacing w:val="-1"/>
                <w:sz w:val="24"/>
              </w:rPr>
              <w:t> </w:t>
            </w:r>
            <w:r>
              <w:rPr>
                <w:sz w:val="24"/>
              </w:rPr>
              <w:t>morreram.</w:t>
            </w:r>
          </w:p>
        </w:tc>
      </w:tr>
      <w:tr>
        <w:trPr>
          <w:trHeight w:val="138" w:hRule="atLeast"/>
        </w:trPr>
        <w:tc>
          <w:tcPr>
            <w:tcW w:w="9061" w:type="dxa"/>
            <w:gridSpan w:val="4"/>
            <w:tcBorders>
              <w:left w:val="nil"/>
              <w:bottom w:val="nil"/>
              <w:right w:val="nil"/>
            </w:tcBorders>
            <w:shd w:val="clear" w:color="auto" w:fill="CACACA"/>
          </w:tcPr>
          <w:p>
            <w:pPr>
              <w:pStyle w:val="TableParagraph"/>
              <w:rPr>
                <w:sz w:val="8"/>
              </w:rPr>
            </w:pPr>
          </w:p>
        </w:tc>
      </w:tr>
      <w:tr>
        <w:trPr>
          <w:trHeight w:val="1866" w:hRule="atLeast"/>
        </w:trPr>
        <w:tc>
          <w:tcPr>
            <w:tcW w:w="1694" w:type="dxa"/>
            <w:tcBorders>
              <w:top w:val="nil"/>
            </w:tcBorders>
            <w:shd w:val="clear" w:color="auto" w:fill="CACACA"/>
            <w:textDirection w:val="btLr"/>
          </w:tcPr>
          <w:p>
            <w:pPr>
              <w:pStyle w:val="TableParagraph"/>
              <w:spacing w:before="1"/>
              <w:rPr>
                <w:rFonts w:ascii="Arial"/>
                <w:sz w:val="24"/>
              </w:rPr>
            </w:pPr>
          </w:p>
          <w:p>
            <w:pPr>
              <w:pStyle w:val="TableParagraph"/>
              <w:spacing w:line="247" w:lineRule="auto"/>
              <w:ind w:left="678" w:right="129" w:hanging="394"/>
              <w:rPr>
                <w:sz w:val="24"/>
              </w:rPr>
            </w:pPr>
            <w:r>
              <w:rPr>
                <w:sz w:val="24"/>
              </w:rPr>
              <w:t>Mineração Rio Verde.</w:t>
            </w:r>
          </w:p>
        </w:tc>
        <w:tc>
          <w:tcPr>
            <w:tcW w:w="1558" w:type="dxa"/>
            <w:tcBorders>
              <w:top w:val="nil"/>
            </w:tcBorders>
            <w:shd w:val="clear" w:color="auto" w:fill="CACACA"/>
            <w:textDirection w:val="btLr"/>
          </w:tcPr>
          <w:p>
            <w:pPr>
              <w:pStyle w:val="TableParagraph"/>
              <w:spacing w:before="1"/>
              <w:rPr>
                <w:rFonts w:ascii="Arial"/>
                <w:sz w:val="24"/>
              </w:rPr>
            </w:pPr>
          </w:p>
          <w:p>
            <w:pPr>
              <w:pStyle w:val="TableParagraph"/>
              <w:spacing w:line="247" w:lineRule="auto"/>
              <w:ind w:left="323" w:right="182" w:hanging="3"/>
              <w:jc w:val="center"/>
              <w:rPr>
                <w:sz w:val="24"/>
              </w:rPr>
            </w:pPr>
            <w:r>
              <w:rPr>
                <w:sz w:val="24"/>
              </w:rPr>
              <w:t>Nova Lima, Região de Macacos, MG</w:t>
            </w:r>
            <w:r>
              <w:rPr>
                <w:w w:val="99"/>
                <w:sz w:val="24"/>
              </w:rPr>
              <w:t> </w:t>
            </w:r>
            <w:r>
              <w:rPr>
                <w:sz w:val="24"/>
              </w:rPr>
              <w:t>(2001)</w:t>
            </w:r>
          </w:p>
        </w:tc>
        <w:tc>
          <w:tcPr>
            <w:tcW w:w="1277" w:type="dxa"/>
            <w:tcBorders>
              <w:top w:val="nil"/>
            </w:tcBorders>
            <w:shd w:val="clear" w:color="auto" w:fill="CACACA"/>
            <w:textDirection w:val="btLr"/>
          </w:tcPr>
          <w:p>
            <w:pPr>
              <w:pStyle w:val="TableParagraph"/>
              <w:spacing w:before="4"/>
              <w:rPr>
                <w:rFonts w:ascii="Arial"/>
                <w:sz w:val="24"/>
              </w:rPr>
            </w:pPr>
          </w:p>
          <w:p>
            <w:pPr>
              <w:pStyle w:val="TableParagraph"/>
              <w:spacing w:line="247" w:lineRule="auto"/>
              <w:ind w:left="359" w:right="220" w:firstLine="2"/>
              <w:jc w:val="center"/>
              <w:rPr>
                <w:sz w:val="24"/>
              </w:rPr>
            </w:pPr>
            <w:r>
              <w:rPr>
                <w:sz w:val="24"/>
              </w:rPr>
              <w:t>Rejeito de mineração de ferro.</w:t>
            </w:r>
          </w:p>
        </w:tc>
        <w:tc>
          <w:tcPr>
            <w:tcW w:w="4532" w:type="dxa"/>
            <w:tcBorders>
              <w:top w:val="nil"/>
            </w:tcBorders>
            <w:shd w:val="clear" w:color="auto" w:fill="CACACA"/>
          </w:tcPr>
          <w:p>
            <w:pPr>
              <w:pStyle w:val="TableParagraph"/>
              <w:ind w:left="275" w:right="257"/>
              <w:jc w:val="both"/>
              <w:rPr>
                <w:sz w:val="24"/>
              </w:rPr>
            </w:pPr>
            <w:r>
              <w:rPr>
                <w:sz w:val="24"/>
              </w:rPr>
              <w:t>Cinco operários morrem no acidente que atingiu 43 hectares e assoreou 6,4 km do leito do córrego Taquaras.</w:t>
            </w:r>
          </w:p>
        </w:tc>
      </w:tr>
      <w:tr>
        <w:trPr>
          <w:trHeight w:val="139" w:hRule="atLeast"/>
        </w:trPr>
        <w:tc>
          <w:tcPr>
            <w:tcW w:w="9061" w:type="dxa"/>
            <w:gridSpan w:val="4"/>
            <w:tcBorders>
              <w:left w:val="nil"/>
              <w:bottom w:val="nil"/>
              <w:right w:val="nil"/>
            </w:tcBorders>
            <w:shd w:val="clear" w:color="auto" w:fill="E7E7E7"/>
          </w:tcPr>
          <w:p>
            <w:pPr>
              <w:pStyle w:val="TableParagraph"/>
              <w:rPr>
                <w:sz w:val="8"/>
              </w:rPr>
            </w:pPr>
          </w:p>
        </w:tc>
      </w:tr>
      <w:tr>
        <w:trPr>
          <w:trHeight w:val="2263" w:hRule="atLeast"/>
        </w:trPr>
        <w:tc>
          <w:tcPr>
            <w:tcW w:w="1694" w:type="dxa"/>
            <w:tcBorders>
              <w:top w:val="nil"/>
              <w:bottom w:val="nil"/>
            </w:tcBorders>
            <w:shd w:val="clear" w:color="auto" w:fill="E7E7E7"/>
            <w:textDirection w:val="btLr"/>
          </w:tcPr>
          <w:p>
            <w:pPr>
              <w:pStyle w:val="TableParagraph"/>
              <w:spacing w:before="1"/>
              <w:rPr>
                <w:rFonts w:ascii="Arial"/>
                <w:sz w:val="24"/>
              </w:rPr>
            </w:pPr>
          </w:p>
          <w:p>
            <w:pPr>
              <w:pStyle w:val="TableParagraph"/>
              <w:spacing w:line="247" w:lineRule="auto"/>
              <w:ind w:left="659" w:right="524" w:firstLine="5"/>
              <w:jc w:val="center"/>
              <w:rPr>
                <w:sz w:val="24"/>
              </w:rPr>
            </w:pPr>
            <w:r>
              <w:rPr>
                <w:sz w:val="24"/>
              </w:rPr>
              <w:t>Indústria Cataguases de Papel.</w:t>
            </w:r>
          </w:p>
        </w:tc>
        <w:tc>
          <w:tcPr>
            <w:tcW w:w="1558" w:type="dxa"/>
            <w:tcBorders>
              <w:top w:val="nil"/>
              <w:bottom w:val="nil"/>
            </w:tcBorders>
            <w:shd w:val="clear" w:color="auto" w:fill="E7E7E7"/>
            <w:textDirection w:val="btLr"/>
          </w:tcPr>
          <w:p>
            <w:pPr>
              <w:pStyle w:val="TableParagraph"/>
              <w:spacing w:before="1"/>
              <w:rPr>
                <w:rFonts w:ascii="Arial"/>
                <w:sz w:val="24"/>
              </w:rPr>
            </w:pPr>
          </w:p>
          <w:p>
            <w:pPr>
              <w:pStyle w:val="TableParagraph"/>
              <w:spacing w:line="247" w:lineRule="auto"/>
              <w:ind w:left="503" w:right="368" w:firstLine="2"/>
              <w:jc w:val="center"/>
              <w:rPr>
                <w:sz w:val="24"/>
              </w:rPr>
            </w:pPr>
            <w:r>
              <w:rPr>
                <w:sz w:val="24"/>
              </w:rPr>
              <w:t>Cataguases, Zona da</w:t>
            </w:r>
            <w:r>
              <w:rPr>
                <w:spacing w:val="-5"/>
                <w:sz w:val="24"/>
              </w:rPr>
              <w:t> </w:t>
            </w:r>
            <w:r>
              <w:rPr>
                <w:sz w:val="24"/>
              </w:rPr>
              <w:t>Mata, Minas Gerais (2003)</w:t>
            </w:r>
          </w:p>
        </w:tc>
        <w:tc>
          <w:tcPr>
            <w:tcW w:w="1277" w:type="dxa"/>
            <w:tcBorders>
              <w:top w:val="nil"/>
              <w:bottom w:val="nil"/>
            </w:tcBorders>
            <w:shd w:val="clear" w:color="auto" w:fill="E7E7E7"/>
            <w:textDirection w:val="btLr"/>
          </w:tcPr>
          <w:p>
            <w:pPr>
              <w:pStyle w:val="TableParagraph"/>
              <w:spacing w:before="4"/>
              <w:rPr>
                <w:rFonts w:ascii="Arial"/>
                <w:sz w:val="24"/>
              </w:rPr>
            </w:pPr>
          </w:p>
          <w:p>
            <w:pPr>
              <w:pStyle w:val="TableParagraph"/>
              <w:spacing w:line="247" w:lineRule="auto"/>
              <w:ind w:left="611" w:right="270" w:hanging="185"/>
              <w:rPr>
                <w:sz w:val="24"/>
              </w:rPr>
            </w:pPr>
            <w:r>
              <w:rPr>
                <w:sz w:val="24"/>
              </w:rPr>
              <w:t>Água e resíduos de produção de celulose.</w:t>
            </w:r>
          </w:p>
        </w:tc>
        <w:tc>
          <w:tcPr>
            <w:tcW w:w="4532" w:type="dxa"/>
            <w:tcBorders>
              <w:top w:val="nil"/>
              <w:bottom w:val="nil"/>
            </w:tcBorders>
            <w:shd w:val="clear" w:color="auto" w:fill="E7E7E7"/>
          </w:tcPr>
          <w:p>
            <w:pPr>
              <w:pStyle w:val="TableParagraph"/>
              <w:ind w:left="275" w:right="256"/>
              <w:jc w:val="both"/>
              <w:rPr>
                <w:sz w:val="24"/>
              </w:rPr>
            </w:pPr>
            <w:r>
              <w:rPr>
                <w:sz w:val="24"/>
              </w:rPr>
              <w:t>A barragem de um dos reservatórios se rompe, liberando no córrego do Cágado e no rio Pomba cerca de 1,4 bilhão de litros de lixívia (licor negro), sobra industrial da produção de celulose. O acidente afetou três Estados, deixando 600 mil pessoas sem</w:t>
            </w:r>
            <w:r>
              <w:rPr>
                <w:spacing w:val="-1"/>
                <w:sz w:val="24"/>
              </w:rPr>
              <w:t> </w:t>
            </w:r>
            <w:r>
              <w:rPr>
                <w:sz w:val="24"/>
              </w:rPr>
              <w:t>água.</w:t>
            </w:r>
          </w:p>
        </w:tc>
      </w:tr>
    </w:tbl>
    <w:p>
      <w:pPr>
        <w:pStyle w:val="BodyText"/>
        <w:rPr>
          <w:rFonts w:ascii="Arial"/>
          <w:sz w:val="20"/>
        </w:rPr>
      </w:pPr>
    </w:p>
    <w:p>
      <w:pPr>
        <w:pStyle w:val="BodyText"/>
        <w:rPr>
          <w:rFonts w:ascii="Arial"/>
          <w:sz w:val="20"/>
        </w:rPr>
      </w:pPr>
    </w:p>
    <w:p>
      <w:pPr>
        <w:pStyle w:val="BodyText"/>
        <w:spacing w:before="6"/>
        <w:rPr>
          <w:rFonts w:ascii="Arial"/>
          <w:sz w:val="25"/>
        </w:rPr>
      </w:pPr>
      <w:r>
        <w:rPr/>
        <w:pict>
          <v:shape style="position:absolute;margin-left:475.660004pt;margin-top:15.877954pt;width:40.450pt;height:55.95pt;mso-position-horizontal-relative:page;mso-position-vertical-relative:paragraph;z-index:1832;mso-wrap-distance-left:0;mso-wrap-distance-right:0" type="#_x0000_t202" filled="true" fillcolor="#6fac46" stroked="false">
            <v:textbox inset="0,0,0,0">
              <w:txbxContent>
                <w:p>
                  <w:pPr>
                    <w:pStyle w:val="BodyText"/>
                    <w:spacing w:before="10"/>
                    <w:rPr>
                      <w:rFonts w:ascii="Arial"/>
                      <w:sz w:val="29"/>
                    </w:rPr>
                  </w:pPr>
                </w:p>
                <w:p>
                  <w:pPr>
                    <w:spacing w:before="0"/>
                    <w:ind w:left="220" w:right="0" w:firstLine="0"/>
                    <w:jc w:val="left"/>
                    <w:rPr>
                      <w:rFonts w:ascii="Arial"/>
                      <w:sz w:val="36"/>
                    </w:rPr>
                  </w:pPr>
                  <w:r>
                    <w:rPr>
                      <w:rFonts w:ascii="Arial"/>
                      <w:color w:val="FFFFFF"/>
                      <w:sz w:val="36"/>
                    </w:rPr>
                    <w:t>31</w:t>
                  </w:r>
                </w:p>
              </w:txbxContent>
            </v:textbox>
            <v:fill type="solid"/>
            <w10:wrap type="topAndBottom"/>
          </v:shape>
        </w:pict>
      </w:r>
    </w:p>
    <w:p>
      <w:pPr>
        <w:spacing w:after="0"/>
        <w:rPr>
          <w:rFonts w:ascii="Arial"/>
          <w:sz w:val="25"/>
        </w:rPr>
        <w:sectPr>
          <w:type w:val="continuous"/>
          <w:pgSz w:w="11910" w:h="16840"/>
          <w:pgMar w:top="0" w:bottom="280" w:left="0" w:right="0"/>
        </w:sectPr>
      </w:pPr>
    </w:p>
    <w:p>
      <w:pPr>
        <w:pStyle w:val="BodyText"/>
        <w:rPr>
          <w:rFonts w:ascii="Arial"/>
          <w:sz w:val="20"/>
        </w:rPr>
      </w:pPr>
    </w:p>
    <w:p>
      <w:pPr>
        <w:pStyle w:val="BodyText"/>
        <w:rPr>
          <w:rFonts w:ascii="Arial"/>
          <w:sz w:val="20"/>
        </w:rPr>
      </w:pPr>
    </w:p>
    <w:p>
      <w:pPr>
        <w:pStyle w:val="BodyText"/>
        <w:spacing w:before="1"/>
        <w:rPr>
          <w:rFonts w:ascii="Arial"/>
          <w:sz w:val="18"/>
        </w:rPr>
      </w:pPr>
    </w:p>
    <w:p>
      <w:pPr>
        <w:spacing w:after="0"/>
        <w:rPr>
          <w:rFonts w:ascii="Arial"/>
          <w:sz w:val="18"/>
        </w:rPr>
        <w:sectPr>
          <w:pgSz w:w="11910" w:h="16840"/>
          <w:pgMar w:top="0" w:bottom="0" w:left="0" w:right="0"/>
        </w:sectPr>
      </w:pPr>
    </w:p>
    <w:p>
      <w:pPr>
        <w:pStyle w:val="Heading1"/>
        <w:spacing w:line="172" w:lineRule="auto"/>
      </w:pPr>
      <w:r>
        <w:rPr/>
        <w:drawing>
          <wp:anchor distT="0" distB="0" distL="0" distR="0" allowOverlap="1" layoutInCell="1" locked="0" behindDoc="0" simplePos="0" relativeHeight="3976">
            <wp:simplePos x="0" y="0"/>
            <wp:positionH relativeFrom="page">
              <wp:posOffset>979932</wp:posOffset>
            </wp:positionH>
            <wp:positionV relativeFrom="paragraph">
              <wp:posOffset>-9589</wp:posOffset>
            </wp:positionV>
            <wp:extent cx="1478280" cy="612648"/>
            <wp:effectExtent l="0" t="0" r="0" b="0"/>
            <wp:wrapNone/>
            <wp:docPr id="137" name="image8.png" descr=""/>
            <wp:cNvGraphicFramePr>
              <a:graphicFrameLocks noChangeAspect="1"/>
            </wp:cNvGraphicFramePr>
            <a:graphic>
              <a:graphicData uri="http://schemas.openxmlformats.org/drawingml/2006/picture">
                <pic:pic>
                  <pic:nvPicPr>
                    <pic:cNvPr id="138" name="image8.png"/>
                    <pic:cNvPicPr/>
                  </pic:nvPicPr>
                  <pic:blipFill>
                    <a:blip r:embed="rId12" cstate="print"/>
                    <a:stretch>
                      <a:fillRect/>
                    </a:stretch>
                  </pic:blipFill>
                  <pic:spPr>
                    <a:xfrm>
                      <a:off x="0" y="0"/>
                      <a:ext cx="1478280" cy="612648"/>
                    </a:xfrm>
                    <a:prstGeom prst="rect">
                      <a:avLst/>
                    </a:prstGeom>
                  </pic:spPr>
                </pic:pic>
              </a:graphicData>
            </a:graphic>
          </wp:anchor>
        </w:drawing>
      </w:r>
      <w:r>
        <w:rPr/>
        <w:pict>
          <v:shape style="position:absolute;margin-left:84.690643pt;margin-top:81.457062pt;width:57.8pt;height:92.25pt;mso-position-horizontal-relative:page;mso-position-vertical-relative:paragraph;z-index:4120" type="#_x0000_t202" filled="false" stroked="false">
            <v:textbox inset="0,0,0,0" style="layout-flow:vertical;mso-layout-flow-alt:bottom-to-top">
              <w:txbxContent>
                <w:p>
                  <w:pPr>
                    <w:pStyle w:val="BodyText"/>
                    <w:spacing w:line="247" w:lineRule="auto" w:before="10"/>
                    <w:ind w:left="19" w:right="18" w:hanging="3"/>
                    <w:jc w:val="center"/>
                  </w:pPr>
                  <w:r>
                    <w:rPr/>
                    <w:t>Mineradora Rio Pomba Cataguases (Mineração Bauminas).</w:t>
                  </w:r>
                </w:p>
              </w:txbxContent>
            </v:textbox>
            <w10:wrap type="none"/>
          </v:shape>
        </w:pict>
      </w:r>
      <w:r>
        <w:rPr/>
        <w:pict>
          <v:shape style="position:absolute;margin-left:169.406647pt;margin-top:79.195198pt;width:43.65pt;height:96.9pt;mso-position-horizontal-relative:page;mso-position-vertical-relative:paragraph;z-index:4216" type="#_x0000_t202" filled="false" stroked="false">
            <v:textbox inset="0,0,0,0" style="layout-flow:vertical;mso-layout-flow-alt:bottom-to-top">
              <w:txbxContent>
                <w:p>
                  <w:pPr>
                    <w:pStyle w:val="BodyText"/>
                    <w:spacing w:line="247" w:lineRule="auto" w:before="10"/>
                    <w:ind w:left="20" w:right="18" w:firstLine="1"/>
                    <w:jc w:val="center"/>
                  </w:pPr>
                  <w:r>
                    <w:rPr/>
                    <w:t>Miraí, na Zona da Mata, Minas Gerias (2007)</w:t>
                  </w:r>
                </w:p>
              </w:txbxContent>
            </v:textbox>
            <w10:wrap type="none"/>
          </v:shape>
        </w:pict>
      </w:r>
      <w:r>
        <w:rPr>
          <w:color w:val="385522"/>
        </w:rPr>
        <w:t>meio </w:t>
      </w:r>
      <w:r>
        <w:rPr>
          <w:color w:val="385522"/>
          <w:w w:val="95"/>
        </w:rPr>
        <w:t>ambiente</w:t>
      </w:r>
    </w:p>
    <w:p>
      <w:pPr>
        <w:spacing w:before="60"/>
        <w:ind w:left="455" w:right="0" w:firstLine="0"/>
        <w:jc w:val="left"/>
        <w:rPr>
          <w:rFonts w:ascii="Arial" w:hAnsi="Arial"/>
          <w:sz w:val="22"/>
        </w:rPr>
      </w:pPr>
      <w:r>
        <w:rPr/>
        <w:br w:type="column"/>
      </w:r>
      <w:r>
        <w:rPr>
          <w:rFonts w:ascii="Arial" w:hAnsi="Arial"/>
          <w:color w:val="385522"/>
          <w:w w:val="90"/>
          <w:sz w:val="22"/>
        </w:rPr>
        <w:t>Plano</w:t>
      </w:r>
      <w:r>
        <w:rPr>
          <w:rFonts w:ascii="Arial" w:hAnsi="Arial"/>
          <w:color w:val="385522"/>
          <w:spacing w:val="-16"/>
          <w:w w:val="90"/>
          <w:sz w:val="22"/>
        </w:rPr>
        <w:t> </w:t>
      </w:r>
      <w:r>
        <w:rPr>
          <w:rFonts w:ascii="Arial" w:hAnsi="Arial"/>
          <w:color w:val="385522"/>
          <w:w w:val="90"/>
          <w:sz w:val="22"/>
        </w:rPr>
        <w:t>Municipal</w:t>
      </w:r>
      <w:r>
        <w:rPr>
          <w:rFonts w:ascii="Arial" w:hAnsi="Arial"/>
          <w:color w:val="385522"/>
          <w:spacing w:val="-14"/>
          <w:w w:val="90"/>
          <w:sz w:val="22"/>
        </w:rPr>
        <w:t> </w:t>
      </w:r>
      <w:r>
        <w:rPr>
          <w:rFonts w:ascii="Arial" w:hAnsi="Arial"/>
          <w:color w:val="385522"/>
          <w:w w:val="90"/>
          <w:sz w:val="22"/>
        </w:rPr>
        <w:t>de</w:t>
      </w:r>
      <w:r>
        <w:rPr>
          <w:rFonts w:ascii="Arial" w:hAnsi="Arial"/>
          <w:color w:val="385522"/>
          <w:spacing w:val="-15"/>
          <w:w w:val="90"/>
          <w:sz w:val="22"/>
        </w:rPr>
        <w:t> </w:t>
      </w:r>
      <w:r>
        <w:rPr>
          <w:rFonts w:ascii="Arial" w:hAnsi="Arial"/>
          <w:color w:val="385522"/>
          <w:w w:val="90"/>
          <w:sz w:val="22"/>
        </w:rPr>
        <w:t>Segurança</w:t>
      </w:r>
      <w:r>
        <w:rPr>
          <w:rFonts w:ascii="Arial" w:hAnsi="Arial"/>
          <w:color w:val="385522"/>
          <w:spacing w:val="-14"/>
          <w:w w:val="90"/>
          <w:sz w:val="22"/>
        </w:rPr>
        <w:t> </w:t>
      </w:r>
      <w:r>
        <w:rPr>
          <w:rFonts w:ascii="Arial" w:hAnsi="Arial"/>
          <w:color w:val="385522"/>
          <w:w w:val="90"/>
          <w:sz w:val="22"/>
        </w:rPr>
        <w:t>de</w:t>
      </w:r>
      <w:r>
        <w:rPr>
          <w:rFonts w:ascii="Arial" w:hAnsi="Arial"/>
          <w:color w:val="385522"/>
          <w:spacing w:val="-13"/>
          <w:w w:val="90"/>
          <w:sz w:val="22"/>
        </w:rPr>
        <w:t> </w:t>
      </w:r>
      <w:r>
        <w:rPr>
          <w:rFonts w:ascii="Arial" w:hAnsi="Arial"/>
          <w:color w:val="385522"/>
          <w:w w:val="90"/>
          <w:sz w:val="22"/>
        </w:rPr>
        <w:t>Barragens-PMSB</w:t>
      </w: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spacing w:before="143"/>
        <w:ind w:left="999" w:right="1692"/>
        <w:jc w:val="both"/>
      </w:pPr>
      <w:r>
        <w:rPr/>
        <w:pict>
          <v:group style="position:absolute;margin-left:70.823997pt;margin-top:.593105pt;width:454.05pt;height:438.45pt;mso-position-horizontal-relative:page;mso-position-vertical-relative:paragraph;z-index:-100648" coordorigin="1416,12" coordsize="9081,8769">
            <v:shape style="position:absolute;left:1426;top:11;width:9052;height:2429" coordorigin="1426,12" coordsize="9052,2429" path="m3118,2301l3108,2301,3108,151,3111,151,3111,12,1436,12,1436,151,1433,151,1433,2301,1426,2301,1426,2441,3118,2441,3118,2301m4669,12l3130,12,3130,151,3130,2301,3396,2301,3680,2301,3963,2301,3963,2301,4247,2301,4669,2301,4669,151,4669,12m5946,12l4688,12,4688,151,4688,2301,4957,2301,5240,2301,5523,2301,5946,2301,5946,151,5946,12m10478,12l5965,12,5965,151,5965,2301,10478,2301,10478,151,10478,12e" filled="true" fillcolor="#cacaca" stroked="false">
              <v:path arrowok="t"/>
              <v:fill type="solid"/>
            </v:shape>
            <v:line style="position:absolute" from="1426,151" to="1426,2441" stroked="true" strokeweight=".96001pt" strokecolor="#ffffff">
              <v:stroke dashstyle="solid"/>
            </v:line>
            <v:rect style="position:absolute;left:3120;top:2301;width:1559;height:140" filled="true" fillcolor="#cacaca" stroked="false">
              <v:fill type="solid"/>
            </v:rect>
            <v:line style="position:absolute" from="3120,151" to="3120,2441" stroked="true" strokeweight=".95999pt" strokecolor="#ffffff">
              <v:stroke dashstyle="solid"/>
            </v:line>
            <v:rect style="position:absolute;left:4681;top:2301;width:1275;height:140" filled="true" fillcolor="#cacaca" stroked="false">
              <v:fill type="solid"/>
            </v:rect>
            <v:line style="position:absolute" from="4679,151" to="4679,2441" stroked="true" strokeweight=".96001pt" strokecolor="#ffffff">
              <v:stroke dashstyle="solid"/>
            </v:line>
            <v:rect style="position:absolute;left:5957;top:2301;width:4530;height:140" filled="true" fillcolor="#cacaca" stroked="false">
              <v:fill type="solid"/>
            </v:rect>
            <v:line style="position:absolute" from="5955,151" to="5955,2441" stroked="true" strokeweight=".96002pt" strokecolor="#ffffff">
              <v:stroke dashstyle="solid"/>
            </v:line>
            <v:line style="position:absolute" from="10488,151" to="10488,2441" stroked="true" strokeweight=".96002pt" strokecolor="#ffffff">
              <v:stroke dashstyle="solid"/>
            </v:line>
            <v:shape style="position:absolute;left:1426;top:2459;width:9052;height:1779" coordorigin="1426,2460" coordsize="9052,1779" path="m3118,4100l3108,4100,3108,2599,3111,2599,3111,2460,1436,2460,1436,2599,1433,2599,1433,4100,1426,4100,1426,4239,3118,4239,3118,4100m4669,2460l3130,2460,3130,2599,3130,4100,3396,4100,3680,4100,3963,4100,3963,4100,4247,4100,4247,4100,4530,4100,4669,4100,4669,2599,4669,2460m5946,2460l4688,2460,4688,2599,4688,4100,4957,4100,5240,4100,5523,4100,5807,4100,5946,4100,5946,2599,5946,2460m10478,2460l5965,2460,5965,2599,5965,4100,10478,4100,10478,2599,10478,2460e" filled="true" fillcolor="#e7e7e7" stroked="false">
              <v:path arrowok="t"/>
              <v:fill type="solid"/>
            </v:shape>
            <v:line style="position:absolute" from="1426,2599" to="1426,4239" stroked="true" strokeweight=".96001pt" strokecolor="#ffffff">
              <v:stroke dashstyle="solid"/>
            </v:line>
            <v:rect style="position:absolute;left:3120;top:4099;width:1559;height:140" filled="true" fillcolor="#e7e7e7" stroked="false">
              <v:fill type="solid"/>
            </v:rect>
            <v:line style="position:absolute" from="3120,2599" to="3120,4239" stroked="true" strokeweight=".95999pt" strokecolor="#ffffff">
              <v:stroke dashstyle="solid"/>
            </v:line>
            <v:rect style="position:absolute;left:4681;top:4099;width:1275;height:140" filled="true" fillcolor="#e7e7e7" stroked="false">
              <v:fill type="solid"/>
            </v:rect>
            <v:line style="position:absolute" from="4679,2599" to="4679,4239" stroked="true" strokeweight=".96001pt" strokecolor="#ffffff">
              <v:stroke dashstyle="solid"/>
            </v:line>
            <v:rect style="position:absolute;left:5957;top:4099;width:4530;height:140" filled="true" fillcolor="#e7e7e7" stroked="false">
              <v:fill type="solid"/>
            </v:rect>
            <v:line style="position:absolute" from="5955,2599" to="5955,4239" stroked="true" strokeweight=".96002pt" strokecolor="#ffffff">
              <v:stroke dashstyle="solid"/>
            </v:line>
            <v:line style="position:absolute" from="10488,2599" to="10488,4239" stroked="true" strokeweight=".96002pt" strokecolor="#ffffff">
              <v:stroke dashstyle="solid"/>
            </v:line>
            <v:shape style="position:absolute;left:1426;top:4258;width:9052;height:2648" coordorigin="1426,4258" coordsize="9052,2648" path="m3118,6764l3108,6764,3108,4397,3111,4397,3111,4258,1436,4258,1436,4397,1433,4397,1433,6764,1426,6764,1426,6903,1433,6903,1433,6905,3108,6905,3108,6903,3118,6903,3118,6764m4669,6903l3130,6903,3130,6905,4669,6905,4669,6903m4669,4258l3130,4258,3130,4397,3130,6764,3396,6764,3396,6766,3680,6766,3963,6766,3963,6764,3963,6764,3963,6766,4247,6766,4247,6764,4669,6764,4669,4397,4669,4258m5946,6903l4688,6903,4688,6905,5946,6905,5946,6903m5946,4258l4688,4258,4688,4397,4688,6764,4957,6764,4957,6766,5240,6766,5523,6766,5523,6764,5946,6764,5946,4397,5946,4258m10478,6903l5965,6903,5965,6905,10478,6905,10478,6903m10478,4258l5965,4258,5965,4397,5965,6764,6231,6764,6231,6766,10212,6766,10212,6764,10478,6764,10478,4397,10478,4258e" filled="true" fillcolor="#bebebe" stroked="false">
              <v:path arrowok="t"/>
              <v:fill type="solid"/>
            </v:shape>
            <v:line style="position:absolute" from="1426,4397" to="1426,6903" stroked="true" strokeweight=".96001pt" strokecolor="#ffffff">
              <v:stroke dashstyle="solid"/>
            </v:line>
            <v:rect style="position:absolute;left:3120;top:6763;width:1559;height:140" filled="true" fillcolor="#bebebe" stroked="false">
              <v:fill type="solid"/>
            </v:rect>
            <v:line style="position:absolute" from="3120,4397" to="3120,6903" stroked="true" strokeweight=".95999pt" strokecolor="#ffffff">
              <v:stroke dashstyle="solid"/>
            </v:line>
            <v:rect style="position:absolute;left:4681;top:6763;width:1275;height:140" filled="true" fillcolor="#bebebe" stroked="false">
              <v:fill type="solid"/>
            </v:rect>
            <v:line style="position:absolute" from="4679,4397" to="4679,6903" stroked="true" strokeweight=".96001pt" strokecolor="#ffffff">
              <v:stroke dashstyle="solid"/>
            </v:line>
            <v:rect style="position:absolute;left:5957;top:6763;width:4530;height:140" filled="true" fillcolor="#bebebe" stroked="false">
              <v:fill type="solid"/>
            </v:rect>
            <v:line style="position:absolute" from="5955,4397" to="5955,6903" stroked="true" strokeweight=".96002pt" strokecolor="#ffffff">
              <v:stroke dashstyle="solid"/>
            </v:line>
            <v:line style="position:absolute" from="10488,4397" to="10488,6903" stroked="true" strokeweight=".96002pt" strokecolor="#ffffff">
              <v:stroke dashstyle="solid"/>
            </v:line>
            <v:shape style="position:absolute;left:1426;top:6922;width:9052;height:1858" coordorigin="1426,6922" coordsize="9052,1858" path="m3118,8641l3108,8641,3108,7061,3111,7061,3111,6922,1436,6922,1436,7061,1433,7061,1433,8641,1426,8641,1426,8780,3118,8780,3118,8641m4669,6922l3130,6922,3130,7061,3130,8641,4669,8641,4669,7061,4669,6922m5946,6922l4688,6922,4688,7061,4688,8641,5946,8641,5946,7061,5946,6922m10478,6922l5965,6922,5965,7061,5965,8641,10478,8641,10478,7061,10478,6922e" filled="true" fillcolor="#e7e7e7" stroked="false">
              <v:path arrowok="t"/>
              <v:fill type="solid"/>
            </v:shape>
            <v:line style="position:absolute" from="1426,7061" to="1426,8780" stroked="true" strokeweight=".96001pt" strokecolor="#ffffff">
              <v:stroke dashstyle="solid"/>
            </v:line>
            <v:rect style="position:absolute;left:3120;top:8640;width:1559;height:140" filled="true" fillcolor="#e7e7e7" stroked="false">
              <v:fill type="solid"/>
            </v:rect>
            <v:line style="position:absolute" from="3120,7061" to="3120,8780" stroked="true" strokeweight=".95999pt" strokecolor="#ffffff">
              <v:stroke dashstyle="solid"/>
            </v:line>
            <v:rect style="position:absolute;left:4681;top:8640;width:1275;height:140" filled="true" fillcolor="#e7e7e7" stroked="false">
              <v:fill type="solid"/>
            </v:rect>
            <v:line style="position:absolute" from="4679,7061" to="4679,8780" stroked="true" strokeweight=".96001pt" strokecolor="#ffffff">
              <v:stroke dashstyle="solid"/>
            </v:line>
            <v:rect style="position:absolute;left:5957;top:8640;width:4530;height:140" filled="true" fillcolor="#e7e7e7" stroked="false">
              <v:fill type="solid"/>
            </v:rect>
            <v:line style="position:absolute" from="5955,7061" to="5955,8780" stroked="true" strokeweight=".96002pt" strokecolor="#ffffff">
              <v:stroke dashstyle="solid"/>
            </v:line>
            <v:line style="position:absolute" from="10488,7061" to="10488,8780" stroked="true" strokeweight=".96002pt" strokecolor="#ffffff">
              <v:stroke dashstyle="solid"/>
            </v:line>
            <w10:wrap type="none"/>
          </v:group>
        </w:pict>
      </w:r>
      <w:r>
        <w:rPr/>
        <w:pict>
          <v:shape style="position:absolute;margin-left:247.436646pt;margin-top:14.392616pt;width:29.45pt;height:93.9pt;mso-position-horizontal-relative:page;mso-position-vertical-relative:paragraph;z-index:4312" type="#_x0000_t202" filled="false" stroked="false">
            <v:textbox inset="0,0,0,0" style="layout-flow:vertical;mso-layout-flow-alt:bottom-to-top">
              <w:txbxContent>
                <w:p>
                  <w:pPr>
                    <w:pStyle w:val="BodyText"/>
                    <w:spacing w:line="247" w:lineRule="auto" w:before="10"/>
                    <w:ind w:left="411" w:right="-1" w:hanging="392"/>
                  </w:pPr>
                  <w:r>
                    <w:rPr/>
                    <w:t>Rejeito de resíduos de bauxita.</w:t>
                  </w:r>
                </w:p>
              </w:txbxContent>
            </v:textbox>
            <w10:wrap type="none"/>
          </v:shape>
        </w:pict>
      </w:r>
      <w:r>
        <w:rPr/>
        <w:t>A barragem que já apresentava problemas se rompeu liberando dois bilhões   de   litros   de   rejeito.   Mais</w:t>
      </w:r>
      <w:r>
        <w:rPr>
          <w:spacing w:val="-6"/>
        </w:rPr>
        <w:t> </w:t>
      </w:r>
      <w:r>
        <w:rPr/>
        <w:t>de</w:t>
      </w:r>
    </w:p>
    <w:p>
      <w:pPr>
        <w:pStyle w:val="BodyText"/>
        <w:ind w:left="999" w:right="1697"/>
        <w:jc w:val="both"/>
      </w:pPr>
      <w:r>
        <w:rPr/>
        <w:t>4.000 moradores ficaram desalojados, e ao menos 1.200 casas foram atingidas e duas mil pessoas desalojadas.</w:t>
      </w:r>
    </w:p>
    <w:p>
      <w:pPr>
        <w:pStyle w:val="BodyText"/>
        <w:rPr>
          <w:sz w:val="26"/>
        </w:rPr>
      </w:pPr>
    </w:p>
    <w:p>
      <w:pPr>
        <w:pStyle w:val="BodyText"/>
        <w:rPr>
          <w:sz w:val="26"/>
        </w:rPr>
      </w:pPr>
    </w:p>
    <w:p>
      <w:pPr>
        <w:pStyle w:val="BodyText"/>
        <w:spacing w:before="194"/>
        <w:ind w:left="999" w:right="1698"/>
        <w:jc w:val="both"/>
      </w:pPr>
      <w:r>
        <w:rPr/>
        <w:pict>
          <v:shape style="position:absolute;margin-left:169.406647pt;margin-top:25.783142pt;width:57.8pt;height:43.7pt;mso-position-horizontal-relative:page;mso-position-vertical-relative:paragraph;z-index:4192" type="#_x0000_t202" filled="false" stroked="false">
            <v:textbox inset="0,0,0,0" style="layout-flow:vertical;mso-layout-flow-alt:bottom-to-top">
              <w:txbxContent>
                <w:p>
                  <w:pPr>
                    <w:pStyle w:val="BodyText"/>
                    <w:spacing w:line="247" w:lineRule="auto" w:before="10"/>
                    <w:ind w:left="19" w:right="18"/>
                    <w:jc w:val="center"/>
                  </w:pPr>
                  <w:r>
                    <w:rPr/>
                    <w:t>Itabirito,</w:t>
                  </w:r>
                  <w:r>
                    <w:rPr>
                      <w:w w:val="99"/>
                    </w:rPr>
                    <w:t> </w:t>
                  </w:r>
                  <w:r>
                    <w:rPr/>
                    <w:t>Minas Gerias (2014)</w:t>
                  </w:r>
                </w:p>
              </w:txbxContent>
            </v:textbox>
            <w10:wrap type="none"/>
          </v:shape>
        </w:pict>
      </w:r>
      <w:r>
        <w:rPr/>
        <w:pict>
          <v:shape style="position:absolute;margin-left:247.436646pt;margin-top:21.752638pt;width:43.65pt;height:51.8pt;mso-position-horizontal-relative:page;mso-position-vertical-relative:paragraph;z-index:4288" type="#_x0000_t202" filled="false" stroked="false">
            <v:textbox inset="0,0,0,0" style="layout-flow:vertical;mso-layout-flow-alt:bottom-to-top">
              <w:txbxContent>
                <w:p>
                  <w:pPr>
                    <w:pStyle w:val="BodyText"/>
                    <w:spacing w:line="247" w:lineRule="auto" w:before="10"/>
                    <w:ind w:left="20" w:right="18" w:firstLine="7"/>
                    <w:jc w:val="both"/>
                  </w:pPr>
                  <w:r>
                    <w:rPr/>
                    <w:t>Rejeito de </w:t>
                  </w:r>
                  <w:r>
                    <w:rPr>
                      <w:spacing w:val="-1"/>
                    </w:rPr>
                    <w:t>mineração </w:t>
                  </w:r>
                  <w:r>
                    <w:rPr/>
                    <w:t>de ferro.</w:t>
                  </w:r>
                </w:p>
              </w:txbxContent>
            </v:textbox>
            <w10:wrap type="none"/>
          </v:shape>
        </w:pict>
      </w:r>
      <w:r>
        <w:rPr/>
        <w:t>Uma barragem se rompe e soterra os operários que realizavam a manutenção no talude de uma barragem de rejeitos desativada.</w:t>
      </w:r>
    </w:p>
    <w:p>
      <w:pPr>
        <w:pStyle w:val="BodyText"/>
        <w:rPr>
          <w:sz w:val="26"/>
        </w:rPr>
      </w:pPr>
    </w:p>
    <w:p>
      <w:pPr>
        <w:pStyle w:val="BodyText"/>
        <w:spacing w:before="5"/>
        <w:rPr>
          <w:sz w:val="34"/>
        </w:rPr>
      </w:pPr>
    </w:p>
    <w:p>
      <w:pPr>
        <w:pStyle w:val="BodyText"/>
        <w:ind w:left="999" w:right="1696"/>
        <w:jc w:val="both"/>
      </w:pPr>
      <w:r>
        <w:rPr/>
        <w:pict>
          <v:shape style="position:absolute;margin-left:247.436646pt;margin-top:7.115549pt;width:29.45pt;height:105.2pt;mso-position-horizontal-relative:page;mso-position-vertical-relative:paragraph;z-index:4264" type="#_x0000_t202" filled="false" stroked="false">
            <v:textbox inset="0,0,0,0" style="layout-flow:vertical;mso-layout-flow-alt:bottom-to-top">
              <w:txbxContent>
                <w:p>
                  <w:pPr>
                    <w:pStyle w:val="BodyText"/>
                    <w:spacing w:before="10"/>
                    <w:jc w:val="center"/>
                  </w:pPr>
                  <w:r>
                    <w:rPr/>
                    <w:t>Rejeito de Mineração</w:t>
                  </w:r>
                </w:p>
                <w:p>
                  <w:pPr>
                    <w:pStyle w:val="BodyText"/>
                    <w:spacing w:before="7"/>
                    <w:jc w:val="center"/>
                  </w:pPr>
                  <w:r>
                    <w:rPr/>
                    <w:t>+ água</w:t>
                  </w:r>
                </w:p>
              </w:txbxContent>
            </v:textbox>
            <w10:wrap type="none"/>
          </v:shape>
        </w:pict>
      </w:r>
      <w:r>
        <w:rPr/>
        <w:t>Foi considerado o mais extenso impacto ambiental da história brasileira e o maior do mundo envolvendo barragens de rejeitos, com um volume total despejado de 62 milhões de metros cúbicos, afetando 230 municípios dos estados de Minas Gerais e Espírito Santo, causando 19 mortes.</w:t>
      </w:r>
    </w:p>
    <w:p>
      <w:pPr>
        <w:spacing w:after="0"/>
        <w:jc w:val="both"/>
        <w:sectPr>
          <w:type w:val="continuous"/>
          <w:pgSz w:w="11910" w:h="16840"/>
          <w:pgMar w:top="0" w:bottom="280" w:left="0" w:right="0"/>
          <w:cols w:num="2" w:equalWidth="0">
            <w:col w:w="5155" w:space="77"/>
            <w:col w:w="6678"/>
          </w:cols>
        </w:sectPr>
      </w:pPr>
    </w:p>
    <w:p>
      <w:pPr>
        <w:pStyle w:val="BodyText"/>
        <w:rPr>
          <w:sz w:val="20"/>
        </w:rPr>
      </w:pPr>
      <w:r>
        <w:rPr/>
        <w:drawing>
          <wp:anchor distT="0" distB="0" distL="0" distR="0" allowOverlap="1" layoutInCell="1" locked="0" behindDoc="0" simplePos="0" relativeHeight="4000">
            <wp:simplePos x="0" y="0"/>
            <wp:positionH relativeFrom="page">
              <wp:posOffset>288925</wp:posOffset>
            </wp:positionH>
            <wp:positionV relativeFrom="page">
              <wp:posOffset>634</wp:posOffset>
            </wp:positionV>
            <wp:extent cx="474344" cy="10691748"/>
            <wp:effectExtent l="0" t="0" r="0" b="0"/>
            <wp:wrapNone/>
            <wp:docPr id="139" name="image9.png" descr=""/>
            <wp:cNvGraphicFramePr>
              <a:graphicFrameLocks noChangeAspect="1"/>
            </wp:cNvGraphicFramePr>
            <a:graphic>
              <a:graphicData uri="http://schemas.openxmlformats.org/drawingml/2006/picture">
                <pic:pic>
                  <pic:nvPicPr>
                    <pic:cNvPr id="140" name="image9.png"/>
                    <pic:cNvPicPr/>
                  </pic:nvPicPr>
                  <pic:blipFill>
                    <a:blip r:embed="rId13" cstate="print"/>
                    <a:stretch>
                      <a:fillRect/>
                    </a:stretch>
                  </pic:blipFill>
                  <pic:spPr>
                    <a:xfrm>
                      <a:off x="0" y="0"/>
                      <a:ext cx="474344" cy="10691748"/>
                    </a:xfrm>
                    <a:prstGeom prst="rect">
                      <a:avLst/>
                    </a:prstGeom>
                  </pic:spPr>
                </pic:pic>
              </a:graphicData>
            </a:graphic>
          </wp:anchor>
        </w:drawing>
      </w:r>
      <w:r>
        <w:rPr/>
        <w:pict>
          <v:shape style="position:absolute;margin-left:84.690643pt;margin-top:240.041473pt;width:29.45pt;height:56.25pt;mso-position-horizontal-relative:page;mso-position-vertical-relative:page;z-index:4096" type="#_x0000_t202" filled="false" stroked="false">
            <v:textbox inset="0,0,0,0" style="layout-flow:vertical;mso-layout-flow-alt:bottom-to-top">
              <w:txbxContent>
                <w:p>
                  <w:pPr>
                    <w:pStyle w:val="BodyText"/>
                    <w:spacing w:line="247" w:lineRule="auto" w:before="10"/>
                    <w:ind w:left="20" w:right="-2" w:firstLine="45"/>
                  </w:pPr>
                  <w:r>
                    <w:rPr/>
                    <w:t>Herculano Mineração.</w:t>
                  </w:r>
                </w:p>
              </w:txbxContent>
            </v:textbox>
            <w10:wrap type="none"/>
          </v:shape>
        </w:pict>
      </w:r>
    </w:p>
    <w:p>
      <w:pPr>
        <w:pStyle w:val="BodyText"/>
        <w:spacing w:before="228"/>
        <w:ind w:left="6231"/>
      </w:pPr>
      <w:r>
        <w:rPr/>
        <w:pict>
          <v:shape style="position:absolute;margin-left:84.690643pt;margin-top:-115.757126pt;width:29.45pt;height:107pt;mso-position-horizontal-relative:page;mso-position-vertical-relative:paragraph;z-index:4072" type="#_x0000_t202" filled="false" stroked="false">
            <v:textbox inset="0,0,0,0" style="layout-flow:vertical;mso-layout-flow-alt:bottom-to-top">
              <w:txbxContent>
                <w:p>
                  <w:pPr>
                    <w:pStyle w:val="BodyText"/>
                    <w:spacing w:line="247" w:lineRule="auto" w:before="10"/>
                    <w:ind w:left="20" w:firstLine="88"/>
                  </w:pPr>
                  <w:r>
                    <w:rPr/>
                    <w:t>Samarco Mineração (Vale e BHP Billiton)</w:t>
                  </w:r>
                </w:p>
              </w:txbxContent>
            </v:textbox>
            <w10:wrap type="none"/>
          </v:shape>
        </w:pict>
      </w:r>
      <w:r>
        <w:rPr/>
        <w:pict>
          <v:shape style="position:absolute;margin-left:169.406647pt;margin-top:18.176643pt;width:43.65pt;height:66.2pt;mso-position-horizontal-relative:page;mso-position-vertical-relative:paragraph;z-index:4144" type="#_x0000_t202" filled="false" stroked="false">
            <v:textbox inset="0,0,0,0" style="layout-flow:vertical;mso-layout-flow-alt:bottom-to-top">
              <w:txbxContent>
                <w:p>
                  <w:pPr>
                    <w:pStyle w:val="BodyText"/>
                    <w:spacing w:line="247" w:lineRule="auto" w:before="10"/>
                    <w:ind w:left="20" w:right="18" w:firstLine="1"/>
                    <w:jc w:val="center"/>
                  </w:pPr>
                  <w:r>
                    <w:rPr/>
                    <w:t>Brumadinho, Minas</w:t>
                  </w:r>
                  <w:r>
                    <w:rPr>
                      <w:spacing w:val="-5"/>
                    </w:rPr>
                    <w:t> </w:t>
                  </w:r>
                  <w:r>
                    <w:rPr/>
                    <w:t>Gerias (2019)</w:t>
                  </w:r>
                </w:p>
              </w:txbxContent>
            </v:textbox>
            <w10:wrap type="none"/>
          </v:shape>
        </w:pict>
      </w:r>
      <w:r>
        <w:rPr/>
        <w:pict>
          <v:shape style="position:absolute;margin-left:169.406647pt;margin-top:-101.129028pt;width:43.65pt;height:77.850pt;mso-position-horizontal-relative:page;mso-position-vertical-relative:paragraph;z-index:4168" type="#_x0000_t202" filled="false" stroked="false">
            <v:textbox inset="0,0,0,0" style="layout-flow:vertical;mso-layout-flow-alt:bottom-to-top">
              <w:txbxContent>
                <w:p>
                  <w:pPr>
                    <w:pStyle w:val="BodyText"/>
                    <w:spacing w:line="247" w:lineRule="auto" w:before="10"/>
                    <w:ind w:left="459" w:right="-2" w:hanging="440"/>
                  </w:pPr>
                  <w:r>
                    <w:rPr/>
                    <w:t>Mariana, Minas Gerias (2015)</w:t>
                  </w:r>
                </w:p>
              </w:txbxContent>
            </v:textbox>
            <w10:wrap type="none"/>
          </v:shape>
        </w:pict>
      </w:r>
      <w:r>
        <w:rPr/>
        <w:pict>
          <v:shape style="position:absolute;margin-left:247.436646pt;margin-top:18.128454pt;width:43.65pt;height:66.25pt;mso-position-horizontal-relative:page;mso-position-vertical-relative:paragraph;z-index:-100432" type="#_x0000_t202" filled="false" stroked="false">
            <v:textbox inset="0,0,0,0" style="layout-flow:vertical;mso-layout-flow-alt:bottom-to-top">
              <w:txbxContent>
                <w:p>
                  <w:pPr>
                    <w:pStyle w:val="BodyText"/>
                    <w:spacing w:line="247" w:lineRule="auto" w:before="10"/>
                    <w:ind w:left="20" w:right="18" w:hanging="3"/>
                    <w:jc w:val="center"/>
                  </w:pPr>
                  <w:r>
                    <w:rPr/>
                    <w:t>Rejeito de mineração de ferro.</w:t>
                  </w:r>
                </w:p>
              </w:txbxContent>
            </v:textbox>
            <w10:wrap type="none"/>
          </v:shape>
        </w:pict>
      </w:r>
      <w:r>
        <w:rPr/>
        <w:t>Além do dano  ambiental, a barragem </w:t>
      </w:r>
      <w:r>
        <w:rPr>
          <w:spacing w:val="3"/>
        </w:rPr>
        <w:t> </w:t>
      </w:r>
      <w:r>
        <w:rPr/>
        <w:t>de</w:t>
      </w:r>
    </w:p>
    <w:p>
      <w:pPr>
        <w:pStyle w:val="BodyText"/>
        <w:tabs>
          <w:tab w:pos="5859" w:val="left" w:leader="none"/>
          <w:tab w:pos="6231" w:val="left" w:leader="none"/>
        </w:tabs>
        <w:spacing w:before="1"/>
        <w:ind w:left="5523"/>
      </w:pPr>
      <w:r>
        <w:rPr/>
        <w:pict>
          <v:shape style="position:absolute;margin-left:84.690643pt;margin-top:2.945123pt;width:15.3pt;height:46.3pt;mso-position-horizontal-relative:page;mso-position-vertical-relative:paragraph;z-index:4048" type="#_x0000_t202" filled="false" stroked="false">
            <v:textbox inset="0,0,0,0" style="layout-flow:vertical;mso-layout-flow-alt:bottom-to-top">
              <w:txbxContent>
                <w:p>
                  <w:pPr>
                    <w:pStyle w:val="BodyText"/>
                    <w:spacing w:before="10"/>
                    <w:ind w:left="20"/>
                  </w:pPr>
                  <w:r>
                    <w:rPr/>
                    <w:t>Vale S/A</w:t>
                  </w:r>
                </w:p>
              </w:txbxContent>
            </v:textbox>
            <w10:wrap type="none"/>
          </v:shape>
        </w:pict>
      </w:r>
      <w:r>
        <w:rPr>
          <w:u w:val="single" w:color="FFFF00"/>
        </w:rPr>
        <w:t> </w:t>
        <w:tab/>
      </w:r>
      <w:r>
        <w:rPr/>
        <w:tab/>
        <w:t>rejeitos  da  Vale  deixou  um  número</w:t>
      </w:r>
      <w:r>
        <w:rPr>
          <w:spacing w:val="7"/>
        </w:rPr>
        <w:t> </w:t>
      </w:r>
      <w:r>
        <w:rPr/>
        <w:t>de</w:t>
      </w:r>
    </w:p>
    <w:p>
      <w:pPr>
        <w:pStyle w:val="BodyText"/>
        <w:ind w:left="6231" w:right="1693"/>
        <w:jc w:val="both"/>
      </w:pPr>
      <w:r>
        <w:rPr/>
        <w:t>339 mortes e outras 395 foram localizadas após o rompimento em 25 de janeiro de 2019.</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13"/>
        </w:rPr>
      </w:pPr>
      <w:r>
        <w:rPr/>
        <w:pict>
          <v:shape style="position:absolute;margin-left:475.660004pt;margin-top:8.798109pt;width:40.450pt;height:55.95pt;mso-position-horizontal-relative:page;mso-position-vertical-relative:paragraph;z-index:1904;mso-wrap-distance-left:0;mso-wrap-distance-right:0" type="#_x0000_t202" filled="true" fillcolor="#6fac46" stroked="false">
            <v:textbox inset="0,0,0,0">
              <w:txbxContent>
                <w:p>
                  <w:pPr>
                    <w:pStyle w:val="BodyText"/>
                    <w:spacing w:before="10"/>
                    <w:rPr>
                      <w:sz w:val="29"/>
                    </w:rPr>
                  </w:pPr>
                </w:p>
                <w:p>
                  <w:pPr>
                    <w:spacing w:before="0"/>
                    <w:ind w:left="220" w:right="0" w:firstLine="0"/>
                    <w:jc w:val="left"/>
                    <w:rPr>
                      <w:rFonts w:ascii="Arial"/>
                      <w:sz w:val="36"/>
                    </w:rPr>
                  </w:pPr>
                  <w:r>
                    <w:rPr>
                      <w:rFonts w:ascii="Arial"/>
                      <w:color w:val="FFFFFF"/>
                      <w:sz w:val="36"/>
                    </w:rPr>
                    <w:t>32</w:t>
                  </w:r>
                </w:p>
              </w:txbxContent>
            </v:textbox>
            <v:fill type="solid"/>
            <w10:wrap type="topAndBottom"/>
          </v:shape>
        </w:pict>
      </w:r>
    </w:p>
    <w:p>
      <w:pPr>
        <w:spacing w:after="0"/>
        <w:rPr>
          <w:sz w:val="13"/>
        </w:rPr>
        <w:sectPr>
          <w:type w:val="continuous"/>
          <w:pgSz w:w="11910" w:h="16840"/>
          <w:pgMar w:top="0" w:bottom="280" w:left="0" w:right="0"/>
        </w:sectPr>
      </w:pPr>
    </w:p>
    <w:p>
      <w:pPr>
        <w:pStyle w:val="BodyText"/>
        <w:rPr>
          <w:sz w:val="20"/>
        </w:rPr>
      </w:pPr>
    </w:p>
    <w:p>
      <w:pPr>
        <w:pStyle w:val="BodyText"/>
        <w:rPr>
          <w:sz w:val="20"/>
        </w:rPr>
      </w:pPr>
    </w:p>
    <w:p>
      <w:pPr>
        <w:pStyle w:val="BodyText"/>
        <w:spacing w:before="1"/>
        <w:rPr>
          <w:sz w:val="18"/>
        </w:rPr>
      </w:pPr>
    </w:p>
    <w:p>
      <w:pPr>
        <w:spacing w:after="0"/>
        <w:rPr>
          <w:sz w:val="18"/>
        </w:rPr>
        <w:sectPr>
          <w:pgSz w:w="11910" w:h="16840"/>
          <w:pgMar w:top="0" w:bottom="0" w:left="0" w:right="0"/>
        </w:sectPr>
      </w:pPr>
    </w:p>
    <w:p>
      <w:pPr>
        <w:pStyle w:val="Heading1"/>
        <w:spacing w:line="172" w:lineRule="auto"/>
      </w:pPr>
      <w:r>
        <w:rPr/>
        <w:drawing>
          <wp:anchor distT="0" distB="0" distL="0" distR="0" allowOverlap="1" layoutInCell="1" locked="0" behindDoc="0" simplePos="0" relativeHeight="4360">
            <wp:simplePos x="0" y="0"/>
            <wp:positionH relativeFrom="page">
              <wp:posOffset>979932</wp:posOffset>
            </wp:positionH>
            <wp:positionV relativeFrom="paragraph">
              <wp:posOffset>-9589</wp:posOffset>
            </wp:positionV>
            <wp:extent cx="1478280" cy="612648"/>
            <wp:effectExtent l="0" t="0" r="0" b="0"/>
            <wp:wrapNone/>
            <wp:docPr id="141" name="image8.png" descr=""/>
            <wp:cNvGraphicFramePr>
              <a:graphicFrameLocks noChangeAspect="1"/>
            </wp:cNvGraphicFramePr>
            <a:graphic>
              <a:graphicData uri="http://schemas.openxmlformats.org/drawingml/2006/picture">
                <pic:pic>
                  <pic:nvPicPr>
                    <pic:cNvPr id="142" name="image8.png"/>
                    <pic:cNvPicPr/>
                  </pic:nvPicPr>
                  <pic:blipFill>
                    <a:blip r:embed="rId12" cstate="print"/>
                    <a:stretch>
                      <a:fillRect/>
                    </a:stretch>
                  </pic:blipFill>
                  <pic:spPr>
                    <a:xfrm>
                      <a:off x="0" y="0"/>
                      <a:ext cx="1478280" cy="612648"/>
                    </a:xfrm>
                    <a:prstGeom prst="rect">
                      <a:avLst/>
                    </a:prstGeom>
                  </pic:spPr>
                </pic:pic>
              </a:graphicData>
            </a:graphic>
          </wp:anchor>
        </w:drawing>
      </w:r>
      <w:r>
        <w:rPr>
          <w:color w:val="385522"/>
        </w:rPr>
        <w:t>meio </w:t>
      </w:r>
      <w:r>
        <w:rPr>
          <w:color w:val="385522"/>
          <w:w w:val="95"/>
        </w:rPr>
        <w:t>ambiente</w:t>
      </w:r>
    </w:p>
    <w:p>
      <w:pPr>
        <w:spacing w:before="60"/>
        <w:ind w:left="455" w:right="0" w:firstLine="0"/>
        <w:jc w:val="left"/>
        <w:rPr>
          <w:rFonts w:ascii="Arial" w:hAnsi="Arial"/>
          <w:sz w:val="22"/>
        </w:rPr>
      </w:pPr>
      <w:r>
        <w:rPr/>
        <w:br w:type="column"/>
      </w:r>
      <w:r>
        <w:rPr>
          <w:rFonts w:ascii="Arial" w:hAnsi="Arial"/>
          <w:color w:val="385522"/>
          <w:sz w:val="22"/>
        </w:rPr>
        <w:t>Plano Municipal de Segurança de Barragens-PMSB</w:t>
      </w:r>
    </w:p>
    <w:p>
      <w:pPr>
        <w:spacing w:after="0"/>
        <w:jc w:val="left"/>
        <w:rPr>
          <w:rFonts w:ascii="Arial" w:hAnsi="Arial"/>
          <w:sz w:val="22"/>
        </w:rPr>
        <w:sectPr>
          <w:type w:val="continuous"/>
          <w:pgSz w:w="11910" w:h="16840"/>
          <w:pgMar w:top="0" w:bottom="280" w:left="0" w:right="0"/>
          <w:cols w:num="2" w:equalWidth="0">
            <w:col w:w="5155" w:space="77"/>
            <w:col w:w="6678"/>
          </w:cols>
        </w:sectPr>
      </w:pPr>
    </w:p>
    <w:p>
      <w:pPr>
        <w:pStyle w:val="BodyText"/>
        <w:rPr>
          <w:rFonts w:ascii="Arial"/>
          <w:sz w:val="20"/>
        </w:rPr>
      </w:pPr>
      <w:r>
        <w:rPr/>
        <w:drawing>
          <wp:anchor distT="0" distB="0" distL="0" distR="0" allowOverlap="1" layoutInCell="1" locked="0" behindDoc="0" simplePos="0" relativeHeight="4384">
            <wp:simplePos x="0" y="0"/>
            <wp:positionH relativeFrom="page">
              <wp:posOffset>288925</wp:posOffset>
            </wp:positionH>
            <wp:positionV relativeFrom="page">
              <wp:posOffset>634</wp:posOffset>
            </wp:positionV>
            <wp:extent cx="474344" cy="10691748"/>
            <wp:effectExtent l="0" t="0" r="0" b="0"/>
            <wp:wrapNone/>
            <wp:docPr id="143" name="image9.png" descr=""/>
            <wp:cNvGraphicFramePr>
              <a:graphicFrameLocks noChangeAspect="1"/>
            </wp:cNvGraphicFramePr>
            <a:graphic>
              <a:graphicData uri="http://schemas.openxmlformats.org/drawingml/2006/picture">
                <pic:pic>
                  <pic:nvPicPr>
                    <pic:cNvPr id="144" name="image9.png"/>
                    <pic:cNvPicPr/>
                  </pic:nvPicPr>
                  <pic:blipFill>
                    <a:blip r:embed="rId13" cstate="print"/>
                    <a:stretch>
                      <a:fillRect/>
                    </a:stretch>
                  </pic:blipFill>
                  <pic:spPr>
                    <a:xfrm>
                      <a:off x="0" y="0"/>
                      <a:ext cx="474344" cy="10691748"/>
                    </a:xfrm>
                    <a:prstGeom prst="rect">
                      <a:avLst/>
                    </a:prstGeom>
                  </pic:spPr>
                </pic:pic>
              </a:graphicData>
            </a:graphic>
          </wp:anchor>
        </w:drawing>
      </w:r>
    </w:p>
    <w:p>
      <w:pPr>
        <w:pStyle w:val="BodyText"/>
        <w:rPr>
          <w:rFonts w:ascii="Arial"/>
          <w:sz w:val="20"/>
        </w:rPr>
      </w:pPr>
    </w:p>
    <w:p>
      <w:pPr>
        <w:pStyle w:val="BodyText"/>
        <w:spacing w:before="11"/>
        <w:rPr>
          <w:rFonts w:ascii="Arial"/>
          <w:sz w:val="22"/>
        </w:rPr>
      </w:pPr>
    </w:p>
    <w:p>
      <w:pPr>
        <w:pStyle w:val="Heading3"/>
        <w:numPr>
          <w:ilvl w:val="0"/>
          <w:numId w:val="2"/>
        </w:numPr>
        <w:tabs>
          <w:tab w:pos="2346" w:val="left" w:leader="none"/>
        </w:tabs>
        <w:spacing w:line="240" w:lineRule="auto" w:before="0" w:after="0"/>
        <w:ind w:left="2345" w:right="0" w:hanging="360"/>
        <w:jc w:val="left"/>
      </w:pPr>
      <w:bookmarkStart w:name="_bookmark9" w:id="19"/>
      <w:bookmarkEnd w:id="19"/>
      <w:r>
        <w:rPr>
          <w:b w:val="0"/>
        </w:rPr>
      </w:r>
      <w:bookmarkStart w:name="_bookmark9" w:id="20"/>
      <w:bookmarkEnd w:id="20"/>
      <w:r>
        <w:rPr/>
        <w:t>M</w:t>
      </w:r>
      <w:r>
        <w:rPr/>
        <w:t>APEAMENTO DAS ÁREAS DE</w:t>
      </w:r>
      <w:r>
        <w:rPr>
          <w:spacing w:val="3"/>
        </w:rPr>
        <w:t> </w:t>
      </w:r>
      <w:r>
        <w:rPr/>
        <w:t>INUNDAÇÃO.</w:t>
      </w:r>
    </w:p>
    <w:p>
      <w:pPr>
        <w:pStyle w:val="BodyText"/>
        <w:rPr>
          <w:b/>
          <w:sz w:val="26"/>
        </w:rPr>
      </w:pPr>
    </w:p>
    <w:p>
      <w:pPr>
        <w:pStyle w:val="BodyText"/>
        <w:spacing w:line="360" w:lineRule="auto" w:before="195"/>
        <w:ind w:left="1702" w:right="1698"/>
        <w:jc w:val="both"/>
      </w:pPr>
      <w:r>
        <w:rPr/>
        <w:t>O estudo de inundação é um importante instrumento para caracterizar adequadamente  os potenciais impactos provenientes do processo de inundação em virtude de ruptura ou mau funcionamento de uma barragem, devendo ser realizado por profissional legalmente habilitado para essa atividade cuja descrição e justificativa deverá, necessariamente, constar no Plano de Ação Emergencial - PAE, sendo de responsabilidade do empreendedor e deste profissional a escolha da melhor metodologia para sua</w:t>
      </w:r>
      <w:r>
        <w:rPr>
          <w:spacing w:val="-2"/>
        </w:rPr>
        <w:t> </w:t>
      </w:r>
      <w:r>
        <w:rPr/>
        <w:t>elaboração.</w:t>
      </w:r>
    </w:p>
    <w:p>
      <w:pPr>
        <w:pStyle w:val="BodyText"/>
        <w:spacing w:before="10"/>
        <w:rPr>
          <w:sz w:val="20"/>
        </w:rPr>
      </w:pPr>
    </w:p>
    <w:p>
      <w:pPr>
        <w:pStyle w:val="BodyText"/>
        <w:spacing w:line="360" w:lineRule="auto"/>
        <w:ind w:left="1702" w:right="1696"/>
        <w:jc w:val="both"/>
      </w:pPr>
      <w:r>
        <w:rPr/>
        <w:t>Produtos destes estudos, os mapas de inundação fornecem a delimitação geográfica georreferenciada das áreas que podem ser afetadas pela eventual ruptura de uma barragem, criando condições para identificar os possíveis cenários associados e mensurar seu potencial dano e</w:t>
      </w:r>
      <w:r>
        <w:rPr>
          <w:spacing w:val="-2"/>
        </w:rPr>
        <w:t> </w:t>
      </w:r>
      <w:r>
        <w:rPr/>
        <w:t>alcance.</w:t>
      </w:r>
    </w:p>
    <w:p>
      <w:pPr>
        <w:pStyle w:val="BodyText"/>
        <w:spacing w:before="10"/>
        <w:rPr>
          <w:sz w:val="20"/>
        </w:rPr>
      </w:pPr>
    </w:p>
    <w:p>
      <w:pPr>
        <w:pStyle w:val="BodyText"/>
        <w:spacing w:line="360" w:lineRule="auto"/>
        <w:ind w:left="1702" w:right="1696"/>
        <w:jc w:val="both"/>
      </w:pPr>
      <w:r>
        <w:rPr/>
        <w:t>O mapeamento destas zonas de inundação fornecem elementos impreteríveis para construção de um plano de ações emergenciais e de contingenciamento, capaz de subsidiar as responsabilidades e o comportamento das autoridades tendo em vista cada situação, ação ou tomada de decisões, com vistas a garantir a melhor segurança às áreas de risco e vulnerabilidade.</w:t>
      </w:r>
    </w:p>
    <w:p>
      <w:pPr>
        <w:pStyle w:val="BodyText"/>
        <w:rPr>
          <w:sz w:val="21"/>
        </w:rPr>
      </w:pPr>
    </w:p>
    <w:p>
      <w:pPr>
        <w:pStyle w:val="BodyText"/>
        <w:spacing w:line="360" w:lineRule="auto"/>
        <w:ind w:left="1702" w:right="1696"/>
        <w:jc w:val="both"/>
      </w:pPr>
      <w:r>
        <w:rPr/>
        <w:t>Resta destacar que o estudo que avalia os potenciais impactos oriundos da ruptura de uma barragem, trata-se de uma modelagem matemática, que parte de alguns pressupostos importantes e que podem variar de acordo com a metodologia adotada.</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14"/>
        </w:rPr>
      </w:pPr>
      <w:r>
        <w:rPr/>
        <w:pict>
          <v:shape style="position:absolute;margin-left:475.660004pt;margin-top:9.290248pt;width:40.450pt;height:55.95pt;mso-position-horizontal-relative:page;mso-position-vertical-relative:paragraph;z-index:2288;mso-wrap-distance-left:0;mso-wrap-distance-right:0" type="#_x0000_t202" filled="true" fillcolor="#6fac46" stroked="false">
            <v:textbox inset="0,0,0,0">
              <w:txbxContent>
                <w:p>
                  <w:pPr>
                    <w:pStyle w:val="BodyText"/>
                    <w:spacing w:before="10"/>
                    <w:rPr>
                      <w:sz w:val="29"/>
                    </w:rPr>
                  </w:pPr>
                </w:p>
                <w:p>
                  <w:pPr>
                    <w:spacing w:before="0"/>
                    <w:ind w:left="220" w:right="0" w:firstLine="0"/>
                    <w:jc w:val="left"/>
                    <w:rPr>
                      <w:rFonts w:ascii="Arial"/>
                      <w:sz w:val="36"/>
                    </w:rPr>
                  </w:pPr>
                  <w:r>
                    <w:rPr>
                      <w:rFonts w:ascii="Arial"/>
                      <w:color w:val="FFFFFF"/>
                      <w:sz w:val="36"/>
                    </w:rPr>
                    <w:t>33</w:t>
                  </w:r>
                </w:p>
              </w:txbxContent>
            </v:textbox>
            <v:fill type="solid"/>
            <w10:wrap type="topAndBottom"/>
          </v:shape>
        </w:pict>
      </w:r>
    </w:p>
    <w:p>
      <w:pPr>
        <w:spacing w:after="0"/>
        <w:rPr>
          <w:sz w:val="14"/>
        </w:rPr>
        <w:sectPr>
          <w:type w:val="continuous"/>
          <w:pgSz w:w="11910" w:h="16840"/>
          <w:pgMar w:top="0" w:bottom="280" w:left="0" w:right="0"/>
        </w:sectPr>
      </w:pPr>
    </w:p>
    <w:p>
      <w:pPr>
        <w:pStyle w:val="BodyText"/>
        <w:rPr>
          <w:sz w:val="20"/>
        </w:rPr>
      </w:pPr>
    </w:p>
    <w:p>
      <w:pPr>
        <w:pStyle w:val="BodyText"/>
        <w:rPr>
          <w:sz w:val="20"/>
        </w:rPr>
      </w:pPr>
    </w:p>
    <w:p>
      <w:pPr>
        <w:pStyle w:val="BodyText"/>
        <w:spacing w:before="1"/>
        <w:rPr>
          <w:sz w:val="18"/>
        </w:rPr>
      </w:pPr>
    </w:p>
    <w:p>
      <w:pPr>
        <w:spacing w:after="0"/>
        <w:rPr>
          <w:sz w:val="18"/>
        </w:rPr>
        <w:sectPr>
          <w:pgSz w:w="11910" w:h="16840"/>
          <w:pgMar w:top="0" w:bottom="0" w:left="0" w:right="0"/>
        </w:sectPr>
      </w:pPr>
    </w:p>
    <w:p>
      <w:pPr>
        <w:pStyle w:val="Heading1"/>
        <w:spacing w:line="172" w:lineRule="auto"/>
      </w:pPr>
      <w:r>
        <w:rPr/>
        <w:drawing>
          <wp:anchor distT="0" distB="0" distL="0" distR="0" allowOverlap="1" layoutInCell="1" locked="0" behindDoc="0" simplePos="0" relativeHeight="4432">
            <wp:simplePos x="0" y="0"/>
            <wp:positionH relativeFrom="page">
              <wp:posOffset>979932</wp:posOffset>
            </wp:positionH>
            <wp:positionV relativeFrom="paragraph">
              <wp:posOffset>-9589</wp:posOffset>
            </wp:positionV>
            <wp:extent cx="1478280" cy="612648"/>
            <wp:effectExtent l="0" t="0" r="0" b="0"/>
            <wp:wrapNone/>
            <wp:docPr id="145" name="image8.png" descr=""/>
            <wp:cNvGraphicFramePr>
              <a:graphicFrameLocks noChangeAspect="1"/>
            </wp:cNvGraphicFramePr>
            <a:graphic>
              <a:graphicData uri="http://schemas.openxmlformats.org/drawingml/2006/picture">
                <pic:pic>
                  <pic:nvPicPr>
                    <pic:cNvPr id="146" name="image8.png"/>
                    <pic:cNvPicPr/>
                  </pic:nvPicPr>
                  <pic:blipFill>
                    <a:blip r:embed="rId12" cstate="print"/>
                    <a:stretch>
                      <a:fillRect/>
                    </a:stretch>
                  </pic:blipFill>
                  <pic:spPr>
                    <a:xfrm>
                      <a:off x="0" y="0"/>
                      <a:ext cx="1478280" cy="612648"/>
                    </a:xfrm>
                    <a:prstGeom prst="rect">
                      <a:avLst/>
                    </a:prstGeom>
                  </pic:spPr>
                </pic:pic>
              </a:graphicData>
            </a:graphic>
          </wp:anchor>
        </w:drawing>
      </w:r>
      <w:r>
        <w:rPr>
          <w:color w:val="385522"/>
        </w:rPr>
        <w:t>meio </w:t>
      </w:r>
      <w:r>
        <w:rPr>
          <w:color w:val="385522"/>
          <w:w w:val="95"/>
        </w:rPr>
        <w:t>ambiente</w:t>
      </w:r>
    </w:p>
    <w:p>
      <w:pPr>
        <w:spacing w:before="60"/>
        <w:ind w:left="455" w:right="0" w:firstLine="0"/>
        <w:jc w:val="left"/>
        <w:rPr>
          <w:rFonts w:ascii="Arial" w:hAnsi="Arial"/>
          <w:sz w:val="22"/>
        </w:rPr>
      </w:pPr>
      <w:r>
        <w:rPr/>
        <w:br w:type="column"/>
      </w:r>
      <w:r>
        <w:rPr>
          <w:rFonts w:ascii="Arial" w:hAnsi="Arial"/>
          <w:color w:val="385522"/>
          <w:sz w:val="22"/>
        </w:rPr>
        <w:t>Plano Municipal de Segurança de Barragens-PMSB</w:t>
      </w:r>
    </w:p>
    <w:p>
      <w:pPr>
        <w:spacing w:after="0"/>
        <w:jc w:val="left"/>
        <w:rPr>
          <w:rFonts w:ascii="Arial" w:hAnsi="Arial"/>
          <w:sz w:val="22"/>
        </w:rPr>
        <w:sectPr>
          <w:type w:val="continuous"/>
          <w:pgSz w:w="11910" w:h="16840"/>
          <w:pgMar w:top="0" w:bottom="280" w:left="0" w:right="0"/>
          <w:cols w:num="2" w:equalWidth="0">
            <w:col w:w="5155" w:space="77"/>
            <w:col w:w="6678"/>
          </w:cols>
        </w:sectPr>
      </w:pPr>
    </w:p>
    <w:p>
      <w:pPr>
        <w:pStyle w:val="BodyText"/>
        <w:rPr>
          <w:rFonts w:ascii="Arial"/>
          <w:sz w:val="20"/>
        </w:rPr>
      </w:pPr>
      <w:r>
        <w:rPr/>
        <w:drawing>
          <wp:anchor distT="0" distB="0" distL="0" distR="0" allowOverlap="1" layoutInCell="1" locked="0" behindDoc="0" simplePos="0" relativeHeight="4456">
            <wp:simplePos x="0" y="0"/>
            <wp:positionH relativeFrom="page">
              <wp:posOffset>288925</wp:posOffset>
            </wp:positionH>
            <wp:positionV relativeFrom="page">
              <wp:posOffset>634</wp:posOffset>
            </wp:positionV>
            <wp:extent cx="474344" cy="10691748"/>
            <wp:effectExtent l="0" t="0" r="0" b="0"/>
            <wp:wrapNone/>
            <wp:docPr id="147" name="image9.png" descr=""/>
            <wp:cNvGraphicFramePr>
              <a:graphicFrameLocks noChangeAspect="1"/>
            </wp:cNvGraphicFramePr>
            <a:graphic>
              <a:graphicData uri="http://schemas.openxmlformats.org/drawingml/2006/picture">
                <pic:pic>
                  <pic:nvPicPr>
                    <pic:cNvPr id="148" name="image9.png"/>
                    <pic:cNvPicPr/>
                  </pic:nvPicPr>
                  <pic:blipFill>
                    <a:blip r:embed="rId13" cstate="print"/>
                    <a:stretch>
                      <a:fillRect/>
                    </a:stretch>
                  </pic:blipFill>
                  <pic:spPr>
                    <a:xfrm>
                      <a:off x="0" y="0"/>
                      <a:ext cx="474344" cy="10691748"/>
                    </a:xfrm>
                    <a:prstGeom prst="rect">
                      <a:avLst/>
                    </a:prstGeom>
                  </pic:spPr>
                </pic:pic>
              </a:graphicData>
            </a:graphic>
          </wp:anchor>
        </w:drawing>
      </w:r>
    </w:p>
    <w:p>
      <w:pPr>
        <w:pStyle w:val="BodyText"/>
        <w:rPr>
          <w:rFonts w:ascii="Arial"/>
          <w:sz w:val="20"/>
        </w:rPr>
      </w:pPr>
    </w:p>
    <w:p>
      <w:pPr>
        <w:pStyle w:val="BodyText"/>
        <w:spacing w:before="11"/>
        <w:rPr>
          <w:rFonts w:ascii="Arial"/>
          <w:sz w:val="22"/>
        </w:rPr>
      </w:pPr>
    </w:p>
    <w:p>
      <w:pPr>
        <w:pStyle w:val="Heading3"/>
        <w:numPr>
          <w:ilvl w:val="0"/>
          <w:numId w:val="2"/>
        </w:numPr>
        <w:tabs>
          <w:tab w:pos="2346" w:val="left" w:leader="none"/>
        </w:tabs>
        <w:spacing w:line="240" w:lineRule="auto" w:before="0" w:after="0"/>
        <w:ind w:left="2345" w:right="0" w:hanging="360"/>
        <w:jc w:val="left"/>
      </w:pPr>
      <w:bookmarkStart w:name="_bookmark10" w:id="21"/>
      <w:bookmarkEnd w:id="21"/>
      <w:r>
        <w:rPr>
          <w:b w:val="0"/>
        </w:rPr>
      </w:r>
      <w:bookmarkStart w:name="_bookmark10" w:id="22"/>
      <w:bookmarkEnd w:id="22"/>
      <w:r>
        <w:rPr/>
        <w:t>CEN</w:t>
      </w:r>
      <w:r>
        <w:rPr/>
        <w:t>ÁRIOS EM ÁREAS URBANAS -</w:t>
      </w:r>
      <w:r>
        <w:rPr>
          <w:spacing w:val="-2"/>
        </w:rPr>
        <w:t> </w:t>
      </w:r>
      <w:r>
        <w:rPr/>
        <w:t>CONGONHAS/MG.</w:t>
      </w:r>
    </w:p>
    <w:p>
      <w:pPr>
        <w:pStyle w:val="BodyText"/>
        <w:rPr>
          <w:b/>
          <w:sz w:val="26"/>
        </w:rPr>
      </w:pPr>
    </w:p>
    <w:p>
      <w:pPr>
        <w:pStyle w:val="BodyText"/>
        <w:spacing w:line="360" w:lineRule="auto" w:before="195"/>
        <w:ind w:left="1702" w:right="1697"/>
        <w:jc w:val="both"/>
      </w:pPr>
      <w:r>
        <w:rPr/>
        <w:t>Com acesso as informações, diversos cenários foram verificados e alguns sobrepostos, com base nos mapas inundação que foram requeridos junto as empresas que possuem barragens no município de Congonhas ou a que ele podem afetar.</w:t>
      </w:r>
    </w:p>
    <w:p>
      <w:pPr>
        <w:pStyle w:val="BodyText"/>
        <w:rPr>
          <w:sz w:val="21"/>
        </w:rPr>
      </w:pPr>
    </w:p>
    <w:p>
      <w:pPr>
        <w:pStyle w:val="BodyText"/>
        <w:spacing w:line="360" w:lineRule="auto"/>
        <w:ind w:left="1702" w:right="1697"/>
        <w:jc w:val="both"/>
      </w:pPr>
      <w:r>
        <w:rPr/>
        <w:t>Estes dados e arquivos foram lançados e sobrepostos em imagens de satélite obtidas no Google Earth PRO.</w:t>
      </w:r>
    </w:p>
    <w:p>
      <w:pPr>
        <w:pStyle w:val="BodyText"/>
        <w:spacing w:before="8"/>
        <w:rPr>
          <w:sz w:val="20"/>
        </w:rPr>
      </w:pPr>
    </w:p>
    <w:p>
      <w:pPr>
        <w:pStyle w:val="BodyText"/>
        <w:spacing w:line="360" w:lineRule="auto"/>
        <w:ind w:left="1702" w:right="1696"/>
        <w:jc w:val="both"/>
      </w:pPr>
      <w:r>
        <w:rPr/>
        <w:t>Resta destacar que o perigo oferecido pelas barragens não pode ser subestimado ou diminuído, devendo ser encarado como real, mas reconhecendo que pode ser minimizado com o conhecimento detalhado das reais consequências que possam vir a acontecer numa situação de ruptura.</w:t>
      </w:r>
    </w:p>
    <w:p>
      <w:pPr>
        <w:pStyle w:val="BodyText"/>
        <w:spacing w:before="10"/>
        <w:rPr>
          <w:sz w:val="20"/>
        </w:rPr>
      </w:pPr>
    </w:p>
    <w:p>
      <w:pPr>
        <w:spacing w:line="360" w:lineRule="auto" w:before="1"/>
        <w:ind w:left="1702" w:right="1697" w:firstLine="0"/>
        <w:jc w:val="both"/>
        <w:rPr>
          <w:sz w:val="24"/>
        </w:rPr>
      </w:pPr>
      <w:r>
        <w:rPr>
          <w:sz w:val="24"/>
        </w:rPr>
        <w:t>Ministério da Integração Nacional (2002) conceitua risco como “</w:t>
      </w:r>
      <w:r>
        <w:rPr>
          <w:i/>
          <w:sz w:val="24"/>
        </w:rPr>
        <w:t>Probabilidade e </w:t>
      </w:r>
      <w:r>
        <w:rPr>
          <w:i/>
          <w:sz w:val="24"/>
        </w:rPr>
        <w:t>severidade de um efeito adverso para a saúde, para a propriedade ou para o meio ambiente. O risco é estimado por expectativas matemáticas das consequências de um evento adverso</w:t>
      </w:r>
      <w:r>
        <w:rPr>
          <w:sz w:val="24"/>
        </w:rPr>
        <w:t>”.</w:t>
      </w:r>
    </w:p>
    <w:p>
      <w:pPr>
        <w:pStyle w:val="BodyText"/>
        <w:spacing w:before="10"/>
        <w:rPr>
          <w:sz w:val="20"/>
        </w:rPr>
      </w:pPr>
    </w:p>
    <w:p>
      <w:pPr>
        <w:pStyle w:val="BodyText"/>
        <w:spacing w:line="360" w:lineRule="auto"/>
        <w:ind w:left="1702" w:right="1700"/>
        <w:jc w:val="both"/>
      </w:pPr>
      <w:r>
        <w:rPr/>
        <w:t>Neste sentido devemos projetar uma hipótese mais próxima da realidade para que possamos buscar sempre a minimização do risco e a maximização dos procedimentos e garantias de segurança.</w:t>
      </w:r>
    </w:p>
    <w:p>
      <w:pPr>
        <w:pStyle w:val="BodyText"/>
        <w:rPr>
          <w:sz w:val="21"/>
        </w:rPr>
      </w:pPr>
    </w:p>
    <w:p>
      <w:pPr>
        <w:pStyle w:val="BodyText"/>
        <w:spacing w:line="360" w:lineRule="auto"/>
        <w:ind w:left="1702" w:right="1697"/>
        <w:jc w:val="both"/>
      </w:pPr>
      <w:r>
        <w:rPr/>
        <w:t>Nesta premissa, devemos ter sempre em foco, que as barragens são geralmente obras associadas a um elevado potencial de risco devido a possibilidade de ruptura, que por sua vez podem provocar consequências econômicas até mesmo suportáveis, mas danos ambientais e humanos devastadores e irreparáveis.</w:t>
      </w:r>
    </w:p>
    <w:p>
      <w:pPr>
        <w:pStyle w:val="BodyText"/>
        <w:spacing w:before="10"/>
        <w:rPr>
          <w:sz w:val="20"/>
        </w:rPr>
      </w:pPr>
    </w:p>
    <w:p>
      <w:pPr>
        <w:pStyle w:val="BodyText"/>
        <w:spacing w:line="360" w:lineRule="auto"/>
        <w:ind w:left="1702" w:right="1696"/>
        <w:jc w:val="both"/>
      </w:pPr>
      <w:r>
        <w:rPr/>
        <w:t>Assim, destacamos novamente que a falta de procedimentos investigativos conclusivos, de forma satisfatória e convincente dos acidentes já registrados no Brasil, tem colocado em dúvida resultado e a metodologia que são empregadas para projeção de cenários hipotéticos de rompimento, que, certamente, deveriam se valer de seus erros para evita- los novamente, o que, no entanto, pouco se tem constatado.</w:t>
      </w:r>
    </w:p>
    <w:p>
      <w:pPr>
        <w:pStyle w:val="BodyText"/>
        <w:rPr>
          <w:sz w:val="20"/>
        </w:rPr>
      </w:pPr>
    </w:p>
    <w:p>
      <w:pPr>
        <w:pStyle w:val="BodyText"/>
        <w:rPr>
          <w:sz w:val="20"/>
        </w:rPr>
      </w:pPr>
    </w:p>
    <w:p>
      <w:pPr>
        <w:pStyle w:val="BodyText"/>
        <w:rPr>
          <w:sz w:val="20"/>
        </w:rPr>
      </w:pPr>
    </w:p>
    <w:p>
      <w:pPr>
        <w:pStyle w:val="BodyText"/>
        <w:spacing w:before="4"/>
        <w:rPr>
          <w:sz w:val="15"/>
        </w:rPr>
      </w:pPr>
      <w:r>
        <w:rPr/>
        <w:pict>
          <v:shape style="position:absolute;margin-left:475.660004pt;margin-top:10.065102pt;width:40.450pt;height:55.95pt;mso-position-horizontal-relative:page;mso-position-vertical-relative:paragraph;z-index:2360;mso-wrap-distance-left:0;mso-wrap-distance-right:0" type="#_x0000_t202" filled="true" fillcolor="#6fac46" stroked="false">
            <v:textbox inset="0,0,0,0">
              <w:txbxContent>
                <w:p>
                  <w:pPr>
                    <w:pStyle w:val="BodyText"/>
                    <w:spacing w:before="10"/>
                    <w:rPr>
                      <w:sz w:val="29"/>
                    </w:rPr>
                  </w:pPr>
                </w:p>
                <w:p>
                  <w:pPr>
                    <w:spacing w:before="0"/>
                    <w:ind w:left="220" w:right="0" w:firstLine="0"/>
                    <w:jc w:val="left"/>
                    <w:rPr>
                      <w:rFonts w:ascii="Arial"/>
                      <w:sz w:val="36"/>
                    </w:rPr>
                  </w:pPr>
                  <w:r>
                    <w:rPr>
                      <w:rFonts w:ascii="Arial"/>
                      <w:color w:val="FFFFFF"/>
                      <w:sz w:val="36"/>
                    </w:rPr>
                    <w:t>34</w:t>
                  </w:r>
                </w:p>
              </w:txbxContent>
            </v:textbox>
            <v:fill type="solid"/>
            <w10:wrap type="topAndBottom"/>
          </v:shape>
        </w:pict>
      </w:r>
    </w:p>
    <w:p>
      <w:pPr>
        <w:spacing w:after="0"/>
        <w:rPr>
          <w:sz w:val="15"/>
        </w:rPr>
        <w:sectPr>
          <w:type w:val="continuous"/>
          <w:pgSz w:w="11910" w:h="16840"/>
          <w:pgMar w:top="0" w:bottom="280" w:left="0" w:right="0"/>
        </w:sectPr>
      </w:pPr>
    </w:p>
    <w:p>
      <w:pPr>
        <w:pStyle w:val="BodyText"/>
        <w:rPr>
          <w:sz w:val="20"/>
        </w:rPr>
      </w:pPr>
    </w:p>
    <w:p>
      <w:pPr>
        <w:pStyle w:val="BodyText"/>
        <w:rPr>
          <w:sz w:val="20"/>
        </w:rPr>
      </w:pPr>
    </w:p>
    <w:p>
      <w:pPr>
        <w:pStyle w:val="BodyText"/>
        <w:spacing w:before="1"/>
        <w:rPr>
          <w:sz w:val="18"/>
        </w:rPr>
      </w:pPr>
    </w:p>
    <w:p>
      <w:pPr>
        <w:spacing w:after="0"/>
        <w:rPr>
          <w:sz w:val="18"/>
        </w:rPr>
        <w:sectPr>
          <w:pgSz w:w="11910" w:h="16840"/>
          <w:pgMar w:top="0" w:bottom="0" w:left="0" w:right="0"/>
        </w:sectPr>
      </w:pPr>
    </w:p>
    <w:p>
      <w:pPr>
        <w:pStyle w:val="Heading1"/>
        <w:spacing w:line="172" w:lineRule="auto"/>
      </w:pPr>
      <w:r>
        <w:rPr/>
        <w:drawing>
          <wp:anchor distT="0" distB="0" distL="0" distR="0" allowOverlap="1" layoutInCell="1" locked="0" behindDoc="0" simplePos="0" relativeHeight="4504">
            <wp:simplePos x="0" y="0"/>
            <wp:positionH relativeFrom="page">
              <wp:posOffset>979932</wp:posOffset>
            </wp:positionH>
            <wp:positionV relativeFrom="paragraph">
              <wp:posOffset>-9589</wp:posOffset>
            </wp:positionV>
            <wp:extent cx="1478280" cy="612648"/>
            <wp:effectExtent l="0" t="0" r="0" b="0"/>
            <wp:wrapNone/>
            <wp:docPr id="149" name="image8.png" descr=""/>
            <wp:cNvGraphicFramePr>
              <a:graphicFrameLocks noChangeAspect="1"/>
            </wp:cNvGraphicFramePr>
            <a:graphic>
              <a:graphicData uri="http://schemas.openxmlformats.org/drawingml/2006/picture">
                <pic:pic>
                  <pic:nvPicPr>
                    <pic:cNvPr id="150" name="image8.png"/>
                    <pic:cNvPicPr/>
                  </pic:nvPicPr>
                  <pic:blipFill>
                    <a:blip r:embed="rId12" cstate="print"/>
                    <a:stretch>
                      <a:fillRect/>
                    </a:stretch>
                  </pic:blipFill>
                  <pic:spPr>
                    <a:xfrm>
                      <a:off x="0" y="0"/>
                      <a:ext cx="1478280" cy="612648"/>
                    </a:xfrm>
                    <a:prstGeom prst="rect">
                      <a:avLst/>
                    </a:prstGeom>
                  </pic:spPr>
                </pic:pic>
              </a:graphicData>
            </a:graphic>
          </wp:anchor>
        </w:drawing>
      </w:r>
      <w:r>
        <w:rPr>
          <w:color w:val="385522"/>
        </w:rPr>
        <w:t>meio </w:t>
      </w:r>
      <w:r>
        <w:rPr>
          <w:color w:val="385522"/>
          <w:w w:val="95"/>
        </w:rPr>
        <w:t>ambiente</w:t>
      </w:r>
    </w:p>
    <w:p>
      <w:pPr>
        <w:spacing w:before="60"/>
        <w:ind w:left="455" w:right="0" w:firstLine="0"/>
        <w:jc w:val="left"/>
        <w:rPr>
          <w:rFonts w:ascii="Arial" w:hAnsi="Arial"/>
          <w:sz w:val="22"/>
        </w:rPr>
      </w:pPr>
      <w:r>
        <w:rPr/>
        <w:br w:type="column"/>
      </w:r>
      <w:r>
        <w:rPr>
          <w:rFonts w:ascii="Arial" w:hAnsi="Arial"/>
          <w:color w:val="385522"/>
          <w:sz w:val="22"/>
        </w:rPr>
        <w:t>Plano Municipal de Segurança de Barragens-PMSB</w:t>
      </w:r>
    </w:p>
    <w:p>
      <w:pPr>
        <w:spacing w:after="0"/>
        <w:jc w:val="left"/>
        <w:rPr>
          <w:rFonts w:ascii="Arial" w:hAnsi="Arial"/>
          <w:sz w:val="22"/>
        </w:rPr>
        <w:sectPr>
          <w:type w:val="continuous"/>
          <w:pgSz w:w="11910" w:h="16840"/>
          <w:pgMar w:top="0" w:bottom="280" w:left="0" w:right="0"/>
          <w:cols w:num="2" w:equalWidth="0">
            <w:col w:w="5155" w:space="77"/>
            <w:col w:w="6678"/>
          </w:cols>
        </w:sectPr>
      </w:pPr>
    </w:p>
    <w:p>
      <w:pPr>
        <w:pStyle w:val="BodyText"/>
        <w:rPr>
          <w:rFonts w:ascii="Arial"/>
          <w:sz w:val="20"/>
        </w:rPr>
      </w:pPr>
      <w:r>
        <w:rPr/>
        <w:drawing>
          <wp:anchor distT="0" distB="0" distL="0" distR="0" allowOverlap="1" layoutInCell="1" locked="0" behindDoc="0" simplePos="0" relativeHeight="4528">
            <wp:simplePos x="0" y="0"/>
            <wp:positionH relativeFrom="page">
              <wp:posOffset>288925</wp:posOffset>
            </wp:positionH>
            <wp:positionV relativeFrom="page">
              <wp:posOffset>634</wp:posOffset>
            </wp:positionV>
            <wp:extent cx="474344" cy="10691748"/>
            <wp:effectExtent l="0" t="0" r="0" b="0"/>
            <wp:wrapNone/>
            <wp:docPr id="151" name="image9.png" descr=""/>
            <wp:cNvGraphicFramePr>
              <a:graphicFrameLocks noChangeAspect="1"/>
            </wp:cNvGraphicFramePr>
            <a:graphic>
              <a:graphicData uri="http://schemas.openxmlformats.org/drawingml/2006/picture">
                <pic:pic>
                  <pic:nvPicPr>
                    <pic:cNvPr id="152" name="image9.png"/>
                    <pic:cNvPicPr/>
                  </pic:nvPicPr>
                  <pic:blipFill>
                    <a:blip r:embed="rId13" cstate="print"/>
                    <a:stretch>
                      <a:fillRect/>
                    </a:stretch>
                  </pic:blipFill>
                  <pic:spPr>
                    <a:xfrm>
                      <a:off x="0" y="0"/>
                      <a:ext cx="474344" cy="10691748"/>
                    </a:xfrm>
                    <a:prstGeom prst="rect">
                      <a:avLst/>
                    </a:prstGeom>
                  </pic:spPr>
                </pic:pic>
              </a:graphicData>
            </a:graphic>
          </wp:anchor>
        </w:drawing>
      </w:r>
    </w:p>
    <w:p>
      <w:pPr>
        <w:pStyle w:val="BodyText"/>
        <w:rPr>
          <w:rFonts w:ascii="Arial"/>
          <w:sz w:val="20"/>
        </w:rPr>
      </w:pPr>
    </w:p>
    <w:p>
      <w:pPr>
        <w:pStyle w:val="BodyText"/>
        <w:spacing w:before="2"/>
        <w:rPr>
          <w:rFonts w:ascii="Arial"/>
          <w:sz w:val="23"/>
        </w:rPr>
      </w:pPr>
    </w:p>
    <w:p>
      <w:pPr>
        <w:pStyle w:val="Heading3"/>
        <w:spacing w:line="360" w:lineRule="auto"/>
        <w:ind w:left="1702" w:right="1817" w:firstLine="0"/>
      </w:pPr>
      <w:r>
        <w:rPr/>
        <w:t>Vejamos alguns caos em Congonhas, que merecem atenção especial e melhor investigação:</w:t>
      </w:r>
    </w:p>
    <w:p>
      <w:pPr>
        <w:pStyle w:val="BodyText"/>
        <w:spacing w:before="4"/>
        <w:rPr>
          <w:b/>
          <w:sz w:val="20"/>
        </w:rPr>
      </w:pPr>
    </w:p>
    <w:p>
      <w:pPr>
        <w:pStyle w:val="ListParagraph"/>
        <w:numPr>
          <w:ilvl w:val="0"/>
          <w:numId w:val="8"/>
        </w:numPr>
        <w:tabs>
          <w:tab w:pos="2422" w:val="left" w:leader="none"/>
        </w:tabs>
        <w:spacing w:line="319" w:lineRule="auto" w:before="1" w:after="0"/>
        <w:ind w:left="2422" w:right="1700" w:hanging="360"/>
        <w:jc w:val="left"/>
        <w:rPr>
          <w:sz w:val="24"/>
        </w:rPr>
      </w:pPr>
      <w:r>
        <w:rPr/>
        <w:drawing>
          <wp:anchor distT="0" distB="0" distL="0" distR="0" allowOverlap="1" layoutInCell="1" locked="0" behindDoc="1" simplePos="0" relativeHeight="268335335">
            <wp:simplePos x="0" y="0"/>
            <wp:positionH relativeFrom="page">
              <wp:posOffset>4438650</wp:posOffset>
            </wp:positionH>
            <wp:positionV relativeFrom="paragraph">
              <wp:posOffset>366846</wp:posOffset>
            </wp:positionV>
            <wp:extent cx="2209800" cy="1438275"/>
            <wp:effectExtent l="0" t="0" r="0" b="0"/>
            <wp:wrapNone/>
            <wp:docPr id="153" name="image43.jpeg" descr=""/>
            <wp:cNvGraphicFramePr>
              <a:graphicFrameLocks noChangeAspect="1"/>
            </wp:cNvGraphicFramePr>
            <a:graphic>
              <a:graphicData uri="http://schemas.openxmlformats.org/drawingml/2006/picture">
                <pic:pic>
                  <pic:nvPicPr>
                    <pic:cNvPr id="154" name="image43.jpeg"/>
                    <pic:cNvPicPr/>
                  </pic:nvPicPr>
                  <pic:blipFill>
                    <a:blip r:embed="rId51" cstate="print"/>
                    <a:stretch>
                      <a:fillRect/>
                    </a:stretch>
                  </pic:blipFill>
                  <pic:spPr>
                    <a:xfrm>
                      <a:off x="0" y="0"/>
                      <a:ext cx="2209800" cy="1438275"/>
                    </a:xfrm>
                    <a:prstGeom prst="rect">
                      <a:avLst/>
                    </a:prstGeom>
                  </pic:spPr>
                </pic:pic>
              </a:graphicData>
            </a:graphic>
          </wp:anchor>
        </w:drawing>
      </w:r>
      <w:r>
        <w:rPr>
          <w:sz w:val="24"/>
        </w:rPr>
        <w:t>Um evento na </w:t>
      </w:r>
      <w:r>
        <w:rPr>
          <w:b/>
          <w:i/>
          <w:sz w:val="24"/>
        </w:rPr>
        <w:t>barragem do Barnabé I (Vale)</w:t>
      </w:r>
      <w:r>
        <w:rPr>
          <w:sz w:val="24"/>
        </w:rPr>
        <w:t>, localizada a montante da cachoeira de Santo Antônio, inundaria</w:t>
      </w:r>
      <w:r>
        <w:rPr>
          <w:spacing w:val="41"/>
          <w:sz w:val="24"/>
        </w:rPr>
        <w:t> </w:t>
      </w:r>
      <w:r>
        <w:rPr>
          <w:sz w:val="24"/>
        </w:rPr>
        <w:t>o</w:t>
      </w:r>
    </w:p>
    <w:p>
      <w:pPr>
        <w:pStyle w:val="BodyText"/>
        <w:spacing w:line="360" w:lineRule="auto" w:before="47"/>
        <w:ind w:left="2422" w:right="5092"/>
        <w:jc w:val="both"/>
      </w:pPr>
      <w:r>
        <w:rPr/>
        <w:t>Parque Ecológico da Cachoeira por completo. Se tal evento acontecesse em um período de alta temporada, quando o parque chega a receber milhares de turistas, os alertas sonoros nas zonas de</w:t>
      </w:r>
      <w:r>
        <w:rPr>
          <w:spacing w:val="25"/>
        </w:rPr>
        <w:t> </w:t>
      </w:r>
      <w:r>
        <w:rPr/>
        <w:t>alto-salvamento</w:t>
      </w:r>
    </w:p>
    <w:p>
      <w:pPr>
        <w:pStyle w:val="BodyText"/>
        <w:spacing w:line="360" w:lineRule="auto"/>
        <w:ind w:left="2422" w:right="1700"/>
        <w:jc w:val="both"/>
      </w:pPr>
      <w:r>
        <w:rPr/>
        <w:t>(ZAS) pouco teriam serventia, pois as pessoas não saberiam como proceder, além de não existir atualmente nenhum plano de contingência ou alerta para o local;</w:t>
      </w:r>
    </w:p>
    <w:p>
      <w:pPr>
        <w:pStyle w:val="BodyText"/>
        <w:spacing w:before="10"/>
        <w:rPr>
          <w:sz w:val="35"/>
        </w:rPr>
      </w:pPr>
    </w:p>
    <w:p>
      <w:pPr>
        <w:pStyle w:val="ListParagraph"/>
        <w:numPr>
          <w:ilvl w:val="0"/>
          <w:numId w:val="8"/>
        </w:numPr>
        <w:tabs>
          <w:tab w:pos="2422" w:val="left" w:leader="none"/>
        </w:tabs>
        <w:spacing w:line="319" w:lineRule="auto" w:before="0" w:after="0"/>
        <w:ind w:left="2422" w:right="1694" w:hanging="360"/>
        <w:jc w:val="left"/>
        <w:rPr>
          <w:sz w:val="24"/>
        </w:rPr>
      </w:pPr>
      <w:r>
        <w:rPr/>
        <w:drawing>
          <wp:anchor distT="0" distB="0" distL="0" distR="0" allowOverlap="1" layoutInCell="1" locked="0" behindDoc="1" simplePos="0" relativeHeight="268335359">
            <wp:simplePos x="0" y="0"/>
            <wp:positionH relativeFrom="page">
              <wp:posOffset>4441825</wp:posOffset>
            </wp:positionH>
            <wp:positionV relativeFrom="paragraph">
              <wp:posOffset>514292</wp:posOffset>
            </wp:positionV>
            <wp:extent cx="2234565" cy="1497964"/>
            <wp:effectExtent l="0" t="0" r="0" b="0"/>
            <wp:wrapNone/>
            <wp:docPr id="155" name="image44.jpeg" descr=""/>
            <wp:cNvGraphicFramePr>
              <a:graphicFrameLocks noChangeAspect="1"/>
            </wp:cNvGraphicFramePr>
            <a:graphic>
              <a:graphicData uri="http://schemas.openxmlformats.org/drawingml/2006/picture">
                <pic:pic>
                  <pic:nvPicPr>
                    <pic:cNvPr id="156" name="image44.jpeg"/>
                    <pic:cNvPicPr/>
                  </pic:nvPicPr>
                  <pic:blipFill>
                    <a:blip r:embed="rId52" cstate="print"/>
                    <a:stretch>
                      <a:fillRect/>
                    </a:stretch>
                  </pic:blipFill>
                  <pic:spPr>
                    <a:xfrm>
                      <a:off x="0" y="0"/>
                      <a:ext cx="2234565" cy="1497964"/>
                    </a:xfrm>
                    <a:prstGeom prst="rect">
                      <a:avLst/>
                    </a:prstGeom>
                  </pic:spPr>
                </pic:pic>
              </a:graphicData>
            </a:graphic>
          </wp:anchor>
        </w:drawing>
      </w:r>
      <w:r>
        <w:rPr>
          <w:sz w:val="24"/>
        </w:rPr>
        <w:t>Um evento na </w:t>
      </w:r>
      <w:r>
        <w:rPr>
          <w:b/>
          <w:i/>
          <w:sz w:val="24"/>
        </w:rPr>
        <w:t>barragem Casa de Pedra (CSN) </w:t>
      </w:r>
      <w:r>
        <w:rPr>
          <w:sz w:val="24"/>
        </w:rPr>
        <w:t>poderia, além do impacto que se verificou</w:t>
      </w:r>
      <w:r>
        <w:rPr>
          <w:spacing w:val="36"/>
          <w:sz w:val="24"/>
        </w:rPr>
        <w:t> </w:t>
      </w:r>
      <w:r>
        <w:rPr>
          <w:sz w:val="24"/>
        </w:rPr>
        <w:t>nos</w:t>
      </w:r>
      <w:r>
        <w:rPr>
          <w:spacing w:val="38"/>
          <w:sz w:val="24"/>
        </w:rPr>
        <w:t> </w:t>
      </w:r>
      <w:r>
        <w:rPr>
          <w:sz w:val="24"/>
        </w:rPr>
        <w:t>cenários</w:t>
      </w:r>
      <w:r>
        <w:rPr>
          <w:spacing w:val="38"/>
          <w:sz w:val="24"/>
        </w:rPr>
        <w:t> </w:t>
      </w:r>
      <w:r>
        <w:rPr>
          <w:sz w:val="24"/>
        </w:rPr>
        <w:t>de</w:t>
      </w:r>
      <w:r>
        <w:rPr>
          <w:spacing w:val="37"/>
          <w:sz w:val="24"/>
        </w:rPr>
        <w:t> </w:t>
      </w:r>
      <w:r>
        <w:rPr>
          <w:sz w:val="24"/>
        </w:rPr>
        <w:t>colapso,</w:t>
      </w:r>
      <w:r>
        <w:rPr>
          <w:spacing w:val="38"/>
          <w:sz w:val="24"/>
        </w:rPr>
        <w:t> </w:t>
      </w:r>
      <w:r>
        <w:rPr>
          <w:sz w:val="24"/>
        </w:rPr>
        <w:t>provocar</w:t>
      </w:r>
    </w:p>
    <w:p>
      <w:pPr>
        <w:pStyle w:val="BodyText"/>
        <w:spacing w:line="360" w:lineRule="auto" w:before="50"/>
        <w:ind w:left="2422" w:right="5119"/>
        <w:jc w:val="both"/>
      </w:pPr>
      <w:r>
        <w:rPr/>
        <w:t>um estancamento no rio Maranhão, represando o mesmo e causando inundação de toda área central, até que sua fluidez fosse normalizada, o que levaria muitos e muitos dias, dependendo de uma série de fatores climáticos e da condição do material</w:t>
      </w:r>
    </w:p>
    <w:p>
      <w:pPr>
        <w:pStyle w:val="BodyText"/>
        <w:spacing w:line="360" w:lineRule="auto"/>
        <w:ind w:left="2422" w:right="1695"/>
        <w:jc w:val="both"/>
      </w:pPr>
      <w:r>
        <w:rPr/>
        <w:t>acumulado. Verificou-se também uma discordância que merece melhor investigação, pois o volume de acumulação indicado no Cadastro Nacional de Barragens de Mineração foi de 21.713.715,00 de m3, enquanto o volume indicado em laudo de vistoria do Ministério Público do Estado de Minas Gerais apontou algo em torno de 75,5 milhões de m3.</w:t>
      </w:r>
    </w:p>
    <w:p>
      <w:pPr>
        <w:pStyle w:val="BodyText"/>
        <w:spacing w:before="9"/>
        <w:rPr>
          <w:sz w:val="25"/>
        </w:rPr>
      </w:pPr>
    </w:p>
    <w:p>
      <w:pPr>
        <w:pStyle w:val="ListParagraph"/>
        <w:numPr>
          <w:ilvl w:val="0"/>
          <w:numId w:val="8"/>
        </w:numPr>
        <w:tabs>
          <w:tab w:pos="2422" w:val="left" w:leader="none"/>
        </w:tabs>
        <w:spacing w:line="319" w:lineRule="auto" w:before="0" w:after="0"/>
        <w:ind w:left="2422" w:right="1696" w:hanging="360"/>
        <w:jc w:val="left"/>
        <w:rPr>
          <w:sz w:val="24"/>
        </w:rPr>
      </w:pPr>
      <w:r>
        <w:rPr>
          <w:sz w:val="24"/>
        </w:rPr>
        <w:t>Um evento na </w:t>
      </w:r>
      <w:r>
        <w:rPr>
          <w:b/>
          <w:i/>
          <w:sz w:val="24"/>
        </w:rPr>
        <w:t>barragem do Lago Soledade (GERDAU)</w:t>
      </w:r>
      <w:r>
        <w:rPr>
          <w:sz w:val="24"/>
        </w:rPr>
        <w:t>, concluída ao final da década de 1970 no método terra-enroncamento, abrigando cerca de 60</w:t>
      </w:r>
      <w:r>
        <w:rPr>
          <w:spacing w:val="30"/>
          <w:sz w:val="24"/>
        </w:rPr>
        <w:t> </w:t>
      </w:r>
      <w:r>
        <w:rPr>
          <w:sz w:val="24"/>
        </w:rPr>
        <w:t>milhões</w:t>
      </w:r>
    </w:p>
    <w:p>
      <w:pPr>
        <w:pStyle w:val="BodyText"/>
        <w:spacing w:line="360" w:lineRule="auto" w:before="50"/>
        <w:ind w:left="2422" w:right="1699"/>
        <w:jc w:val="both"/>
      </w:pPr>
      <w:r>
        <w:rPr/>
        <w:t>de m3 de acumulação, causaria um evento de grandes proporções na área urbana,</w:t>
      </w:r>
      <w:r>
        <w:rPr>
          <w:spacing w:val="13"/>
        </w:rPr>
        <w:t> </w:t>
      </w:r>
      <w:r>
        <w:rPr/>
        <w:t>certamente</w:t>
      </w:r>
      <w:r>
        <w:rPr>
          <w:spacing w:val="13"/>
        </w:rPr>
        <w:t> </w:t>
      </w:r>
      <w:r>
        <w:rPr/>
        <w:t>atingindo</w:t>
      </w:r>
      <w:r>
        <w:rPr>
          <w:spacing w:val="13"/>
        </w:rPr>
        <w:t> </w:t>
      </w:r>
      <w:r>
        <w:rPr/>
        <w:t>mais</w:t>
      </w:r>
      <w:r>
        <w:rPr>
          <w:spacing w:val="13"/>
        </w:rPr>
        <w:t> </w:t>
      </w:r>
      <w:r>
        <w:rPr/>
        <w:t>de</w:t>
      </w:r>
      <w:r>
        <w:rPr>
          <w:spacing w:val="12"/>
        </w:rPr>
        <w:t> </w:t>
      </w:r>
      <w:r>
        <w:rPr/>
        <w:t>3.500</w:t>
      </w:r>
      <w:r>
        <w:rPr>
          <w:spacing w:val="14"/>
        </w:rPr>
        <w:t> </w:t>
      </w:r>
      <w:r>
        <w:rPr/>
        <w:t>pessoas.</w:t>
      </w:r>
      <w:r>
        <w:rPr>
          <w:spacing w:val="13"/>
        </w:rPr>
        <w:t> </w:t>
      </w:r>
      <w:r>
        <w:rPr/>
        <w:t>Além</w:t>
      </w:r>
      <w:r>
        <w:rPr>
          <w:spacing w:val="13"/>
        </w:rPr>
        <w:t> </w:t>
      </w:r>
      <w:r>
        <w:rPr/>
        <w:t>do</w:t>
      </w:r>
      <w:r>
        <w:rPr>
          <w:spacing w:val="13"/>
        </w:rPr>
        <w:t> </w:t>
      </w:r>
      <w:r>
        <w:rPr/>
        <w:t>centro</w:t>
      </w:r>
      <w:r>
        <w:rPr>
          <w:spacing w:val="12"/>
        </w:rPr>
        <w:t> </w:t>
      </w:r>
      <w:r>
        <w:rPr/>
        <w:t>da</w:t>
      </w:r>
      <w:r>
        <w:rPr>
          <w:spacing w:val="13"/>
        </w:rPr>
        <w:t> </w:t>
      </w:r>
      <w:r>
        <w:rPr/>
        <w:t>cidade,</w:t>
      </w:r>
    </w:p>
    <w:p>
      <w:pPr>
        <w:pStyle w:val="BodyText"/>
        <w:spacing w:before="1"/>
        <w:rPr>
          <w:sz w:val="15"/>
        </w:rPr>
      </w:pPr>
      <w:r>
        <w:rPr/>
        <w:pict>
          <v:shape style="position:absolute;margin-left:475.660004pt;margin-top:9.881908pt;width:40.450pt;height:55.95pt;mso-position-horizontal-relative:page;mso-position-vertical-relative:paragraph;z-index:2432;mso-wrap-distance-left:0;mso-wrap-distance-right:0" type="#_x0000_t202" filled="true" fillcolor="#6fac46" stroked="false">
            <v:textbox inset="0,0,0,0">
              <w:txbxContent>
                <w:p>
                  <w:pPr>
                    <w:pStyle w:val="BodyText"/>
                    <w:spacing w:before="10"/>
                    <w:rPr>
                      <w:sz w:val="29"/>
                    </w:rPr>
                  </w:pPr>
                </w:p>
                <w:p>
                  <w:pPr>
                    <w:spacing w:before="0"/>
                    <w:ind w:left="220" w:right="0" w:firstLine="0"/>
                    <w:jc w:val="left"/>
                    <w:rPr>
                      <w:rFonts w:ascii="Arial"/>
                      <w:sz w:val="36"/>
                    </w:rPr>
                  </w:pPr>
                  <w:r>
                    <w:rPr>
                      <w:rFonts w:ascii="Arial"/>
                      <w:color w:val="FFFFFF"/>
                      <w:sz w:val="36"/>
                    </w:rPr>
                    <w:t>35</w:t>
                  </w:r>
                </w:p>
              </w:txbxContent>
            </v:textbox>
            <v:fill type="solid"/>
            <w10:wrap type="topAndBottom"/>
          </v:shape>
        </w:pict>
      </w:r>
    </w:p>
    <w:p>
      <w:pPr>
        <w:spacing w:after="0"/>
        <w:rPr>
          <w:sz w:val="15"/>
        </w:rPr>
        <w:sectPr>
          <w:type w:val="continuous"/>
          <w:pgSz w:w="11910" w:h="16840"/>
          <w:pgMar w:top="0" w:bottom="280" w:left="0" w:right="0"/>
        </w:sectPr>
      </w:pPr>
    </w:p>
    <w:p>
      <w:pPr>
        <w:pStyle w:val="BodyText"/>
        <w:rPr>
          <w:sz w:val="20"/>
        </w:rPr>
      </w:pPr>
    </w:p>
    <w:p>
      <w:pPr>
        <w:pStyle w:val="BodyText"/>
        <w:rPr>
          <w:sz w:val="20"/>
        </w:rPr>
      </w:pPr>
    </w:p>
    <w:p>
      <w:pPr>
        <w:pStyle w:val="BodyText"/>
        <w:spacing w:before="1"/>
        <w:rPr>
          <w:sz w:val="18"/>
        </w:rPr>
      </w:pPr>
    </w:p>
    <w:p>
      <w:pPr>
        <w:spacing w:after="0"/>
        <w:rPr>
          <w:sz w:val="18"/>
        </w:rPr>
        <w:sectPr>
          <w:pgSz w:w="11910" w:h="16840"/>
          <w:pgMar w:top="0" w:bottom="0" w:left="0" w:right="0"/>
        </w:sectPr>
      </w:pPr>
    </w:p>
    <w:p>
      <w:pPr>
        <w:pStyle w:val="Heading1"/>
        <w:spacing w:line="172" w:lineRule="auto"/>
      </w:pPr>
      <w:r>
        <w:rPr/>
        <w:drawing>
          <wp:anchor distT="0" distB="0" distL="0" distR="0" allowOverlap="1" layoutInCell="1" locked="0" behindDoc="0" simplePos="0" relativeHeight="4624">
            <wp:simplePos x="0" y="0"/>
            <wp:positionH relativeFrom="page">
              <wp:posOffset>979932</wp:posOffset>
            </wp:positionH>
            <wp:positionV relativeFrom="paragraph">
              <wp:posOffset>-9589</wp:posOffset>
            </wp:positionV>
            <wp:extent cx="1478280" cy="612648"/>
            <wp:effectExtent l="0" t="0" r="0" b="0"/>
            <wp:wrapNone/>
            <wp:docPr id="157" name="image8.png" descr=""/>
            <wp:cNvGraphicFramePr>
              <a:graphicFrameLocks noChangeAspect="1"/>
            </wp:cNvGraphicFramePr>
            <a:graphic>
              <a:graphicData uri="http://schemas.openxmlformats.org/drawingml/2006/picture">
                <pic:pic>
                  <pic:nvPicPr>
                    <pic:cNvPr id="158" name="image8.png"/>
                    <pic:cNvPicPr/>
                  </pic:nvPicPr>
                  <pic:blipFill>
                    <a:blip r:embed="rId12" cstate="print"/>
                    <a:stretch>
                      <a:fillRect/>
                    </a:stretch>
                  </pic:blipFill>
                  <pic:spPr>
                    <a:xfrm>
                      <a:off x="0" y="0"/>
                      <a:ext cx="1478280" cy="612648"/>
                    </a:xfrm>
                    <a:prstGeom prst="rect">
                      <a:avLst/>
                    </a:prstGeom>
                  </pic:spPr>
                </pic:pic>
              </a:graphicData>
            </a:graphic>
          </wp:anchor>
        </w:drawing>
      </w:r>
      <w:r>
        <w:rPr>
          <w:color w:val="385522"/>
        </w:rPr>
        <w:t>meio </w:t>
      </w:r>
      <w:r>
        <w:rPr>
          <w:color w:val="385522"/>
          <w:w w:val="95"/>
        </w:rPr>
        <w:t>ambiente</w:t>
      </w:r>
    </w:p>
    <w:p>
      <w:pPr>
        <w:spacing w:before="60"/>
        <w:ind w:left="455" w:right="0" w:firstLine="0"/>
        <w:jc w:val="left"/>
        <w:rPr>
          <w:rFonts w:ascii="Arial" w:hAnsi="Arial"/>
          <w:sz w:val="22"/>
        </w:rPr>
      </w:pPr>
      <w:r>
        <w:rPr/>
        <w:br w:type="column"/>
      </w:r>
      <w:r>
        <w:rPr>
          <w:rFonts w:ascii="Arial" w:hAnsi="Arial"/>
          <w:color w:val="385522"/>
          <w:sz w:val="22"/>
        </w:rPr>
        <w:t>Plano Municipal de Segurança de Barragens-PMSB</w:t>
      </w:r>
    </w:p>
    <w:p>
      <w:pPr>
        <w:spacing w:after="0"/>
        <w:jc w:val="left"/>
        <w:rPr>
          <w:rFonts w:ascii="Arial" w:hAnsi="Arial"/>
          <w:sz w:val="22"/>
        </w:rPr>
        <w:sectPr>
          <w:type w:val="continuous"/>
          <w:pgSz w:w="11910" w:h="16840"/>
          <w:pgMar w:top="0" w:bottom="280" w:left="0" w:right="0"/>
          <w:cols w:num="2" w:equalWidth="0">
            <w:col w:w="5155" w:space="77"/>
            <w:col w:w="6678"/>
          </w:cols>
        </w:sectPr>
      </w:pPr>
    </w:p>
    <w:p>
      <w:pPr>
        <w:pStyle w:val="BodyText"/>
        <w:rPr>
          <w:rFonts w:ascii="Arial"/>
          <w:sz w:val="20"/>
        </w:rPr>
      </w:pPr>
      <w:r>
        <w:rPr/>
        <w:drawing>
          <wp:anchor distT="0" distB="0" distL="0" distR="0" allowOverlap="1" layoutInCell="1" locked="0" behindDoc="0" simplePos="0" relativeHeight="4648">
            <wp:simplePos x="0" y="0"/>
            <wp:positionH relativeFrom="page">
              <wp:posOffset>288925</wp:posOffset>
            </wp:positionH>
            <wp:positionV relativeFrom="page">
              <wp:posOffset>634</wp:posOffset>
            </wp:positionV>
            <wp:extent cx="474344" cy="10691748"/>
            <wp:effectExtent l="0" t="0" r="0" b="0"/>
            <wp:wrapNone/>
            <wp:docPr id="159" name="image9.png" descr=""/>
            <wp:cNvGraphicFramePr>
              <a:graphicFrameLocks noChangeAspect="1"/>
            </wp:cNvGraphicFramePr>
            <a:graphic>
              <a:graphicData uri="http://schemas.openxmlformats.org/drawingml/2006/picture">
                <pic:pic>
                  <pic:nvPicPr>
                    <pic:cNvPr id="160" name="image9.png"/>
                    <pic:cNvPicPr/>
                  </pic:nvPicPr>
                  <pic:blipFill>
                    <a:blip r:embed="rId13" cstate="print"/>
                    <a:stretch>
                      <a:fillRect/>
                    </a:stretch>
                  </pic:blipFill>
                  <pic:spPr>
                    <a:xfrm>
                      <a:off x="0" y="0"/>
                      <a:ext cx="474344" cy="10691748"/>
                    </a:xfrm>
                    <a:prstGeom prst="rect">
                      <a:avLst/>
                    </a:prstGeom>
                  </pic:spPr>
                </pic:pic>
              </a:graphicData>
            </a:graphic>
          </wp:anchor>
        </w:drawing>
      </w:r>
    </w:p>
    <w:p>
      <w:pPr>
        <w:pStyle w:val="BodyText"/>
        <w:rPr>
          <w:rFonts w:ascii="Arial"/>
          <w:sz w:val="20"/>
        </w:rPr>
      </w:pPr>
    </w:p>
    <w:p>
      <w:pPr>
        <w:pStyle w:val="BodyText"/>
        <w:spacing w:before="8"/>
        <w:rPr>
          <w:rFonts w:ascii="Arial"/>
          <w:sz w:val="22"/>
        </w:rPr>
      </w:pPr>
    </w:p>
    <w:p>
      <w:pPr>
        <w:pStyle w:val="BodyText"/>
        <w:spacing w:line="360" w:lineRule="auto" w:before="1"/>
        <w:ind w:left="2422" w:right="1698"/>
        <w:jc w:val="both"/>
      </w:pPr>
      <w:r>
        <w:rPr/>
        <w:drawing>
          <wp:anchor distT="0" distB="0" distL="0" distR="0" allowOverlap="1" layoutInCell="1" locked="0" behindDoc="1" simplePos="0" relativeHeight="268335455">
            <wp:simplePos x="0" y="0"/>
            <wp:positionH relativeFrom="page">
              <wp:posOffset>4270375</wp:posOffset>
            </wp:positionH>
            <wp:positionV relativeFrom="paragraph">
              <wp:posOffset>410377</wp:posOffset>
            </wp:positionV>
            <wp:extent cx="2236470" cy="1488440"/>
            <wp:effectExtent l="0" t="0" r="0" b="0"/>
            <wp:wrapNone/>
            <wp:docPr id="161" name="image45.jpeg" descr=""/>
            <wp:cNvGraphicFramePr>
              <a:graphicFrameLocks noChangeAspect="1"/>
            </wp:cNvGraphicFramePr>
            <a:graphic>
              <a:graphicData uri="http://schemas.openxmlformats.org/drawingml/2006/picture">
                <pic:pic>
                  <pic:nvPicPr>
                    <pic:cNvPr id="162" name="image45.jpeg"/>
                    <pic:cNvPicPr/>
                  </pic:nvPicPr>
                  <pic:blipFill>
                    <a:blip r:embed="rId53" cstate="print"/>
                    <a:stretch>
                      <a:fillRect/>
                    </a:stretch>
                  </pic:blipFill>
                  <pic:spPr>
                    <a:xfrm>
                      <a:off x="0" y="0"/>
                      <a:ext cx="2236470" cy="1488440"/>
                    </a:xfrm>
                    <a:prstGeom prst="rect">
                      <a:avLst/>
                    </a:prstGeom>
                  </pic:spPr>
                </pic:pic>
              </a:graphicData>
            </a:graphic>
          </wp:anchor>
        </w:drawing>
      </w:r>
      <w:r>
        <w:rPr/>
        <w:t>distritos como Lobo Leite, Joaquim Murtinho e BR 040 (provocando arraste e impedindo o fluxo de trânsito)</w:t>
      </w:r>
      <w:r>
        <w:rPr>
          <w:spacing w:val="18"/>
        </w:rPr>
        <w:t> </w:t>
      </w:r>
      <w:r>
        <w:rPr/>
        <w:t>seriam</w:t>
      </w:r>
    </w:p>
    <w:p>
      <w:pPr>
        <w:pStyle w:val="BodyText"/>
        <w:spacing w:line="360" w:lineRule="auto"/>
        <w:ind w:left="2422" w:right="5356"/>
        <w:jc w:val="both"/>
      </w:pPr>
      <w:r>
        <w:rPr/>
        <w:t>gravemente afetados. Existem relatos de “transbordamento” de água da barragem que resultaram inclusive no rompimento de um duto de passagem que provocou o desmoronamento de trecho da MG 030, próximo  ao  Distrito  de  Lobo  Leite,  e </w:t>
      </w:r>
      <w:r>
        <w:rPr>
          <w:spacing w:val="1"/>
        </w:rPr>
        <w:t> </w:t>
      </w:r>
      <w:r>
        <w:rPr/>
        <w:t>a</w:t>
      </w:r>
    </w:p>
    <w:p>
      <w:pPr>
        <w:pStyle w:val="BodyText"/>
        <w:spacing w:line="362" w:lineRule="auto"/>
        <w:ind w:left="2422" w:right="1698"/>
        <w:jc w:val="both"/>
      </w:pPr>
      <w:r>
        <w:rPr/>
        <w:t>consequente inundação de pontos na zona urbana. Nenhum registro oficial sobre o assunto foi encontrado até o momento.</w:t>
      </w:r>
    </w:p>
    <w:p>
      <w:pPr>
        <w:pStyle w:val="BodyText"/>
        <w:spacing w:before="5"/>
        <w:rPr>
          <w:sz w:val="35"/>
        </w:rPr>
      </w:pPr>
    </w:p>
    <w:p>
      <w:pPr>
        <w:pStyle w:val="ListParagraph"/>
        <w:numPr>
          <w:ilvl w:val="0"/>
          <w:numId w:val="8"/>
        </w:numPr>
        <w:tabs>
          <w:tab w:pos="2422" w:val="left" w:leader="none"/>
        </w:tabs>
        <w:spacing w:line="319" w:lineRule="auto" w:before="0" w:after="0"/>
        <w:ind w:left="2422" w:right="1696" w:hanging="360"/>
        <w:jc w:val="left"/>
        <w:rPr>
          <w:sz w:val="24"/>
        </w:rPr>
      </w:pPr>
      <w:r>
        <w:rPr/>
        <w:drawing>
          <wp:anchor distT="0" distB="0" distL="0" distR="0" allowOverlap="1" layoutInCell="1" locked="0" behindDoc="1" simplePos="0" relativeHeight="268335479">
            <wp:simplePos x="0" y="0"/>
            <wp:positionH relativeFrom="page">
              <wp:posOffset>4274820</wp:posOffset>
            </wp:positionH>
            <wp:positionV relativeFrom="paragraph">
              <wp:posOffset>380561</wp:posOffset>
            </wp:positionV>
            <wp:extent cx="2213610" cy="1392554"/>
            <wp:effectExtent l="0" t="0" r="0" b="0"/>
            <wp:wrapNone/>
            <wp:docPr id="163" name="image46.jpeg" descr=""/>
            <wp:cNvGraphicFramePr>
              <a:graphicFrameLocks noChangeAspect="1"/>
            </wp:cNvGraphicFramePr>
            <a:graphic>
              <a:graphicData uri="http://schemas.openxmlformats.org/drawingml/2006/picture">
                <pic:pic>
                  <pic:nvPicPr>
                    <pic:cNvPr id="164" name="image46.jpeg"/>
                    <pic:cNvPicPr/>
                  </pic:nvPicPr>
                  <pic:blipFill>
                    <a:blip r:embed="rId54" cstate="print"/>
                    <a:stretch>
                      <a:fillRect/>
                    </a:stretch>
                  </pic:blipFill>
                  <pic:spPr>
                    <a:xfrm>
                      <a:off x="0" y="0"/>
                      <a:ext cx="2213610" cy="1392554"/>
                    </a:xfrm>
                    <a:prstGeom prst="rect">
                      <a:avLst/>
                    </a:prstGeom>
                  </pic:spPr>
                </pic:pic>
              </a:graphicData>
            </a:graphic>
          </wp:anchor>
        </w:drawing>
      </w:r>
      <w:r>
        <w:rPr>
          <w:sz w:val="24"/>
        </w:rPr>
        <w:t>O que se verifica em análise superficial ao mapa de inundação da </w:t>
      </w:r>
      <w:r>
        <w:rPr>
          <w:b/>
          <w:i/>
          <w:sz w:val="24"/>
        </w:rPr>
        <w:t>barragem do </w:t>
      </w:r>
      <w:r>
        <w:rPr>
          <w:b/>
          <w:i/>
          <w:sz w:val="24"/>
        </w:rPr>
        <w:t>Vigia (CSN)</w:t>
      </w:r>
      <w:r>
        <w:rPr>
          <w:sz w:val="24"/>
        </w:rPr>
        <w:t>, construída no método a</w:t>
      </w:r>
    </w:p>
    <w:p>
      <w:pPr>
        <w:pStyle w:val="BodyText"/>
        <w:spacing w:line="360" w:lineRule="auto" w:before="47"/>
        <w:ind w:left="2422" w:right="5348"/>
        <w:jc w:val="both"/>
      </w:pPr>
      <w:r>
        <w:rPr/>
        <w:t>montante, são os fortes indícios de subdmensionamento das áreas de alcance hipotético da onda. Sobretudo se comparado a um evento concreto que aconteceu em 2007 e inundou o Bairro</w:t>
      </w:r>
    </w:p>
    <w:p>
      <w:pPr>
        <w:pStyle w:val="BodyText"/>
        <w:spacing w:line="360" w:lineRule="auto" w:before="1"/>
        <w:ind w:left="2422" w:right="1695"/>
        <w:jc w:val="both"/>
      </w:pPr>
      <w:r>
        <w:rPr/>
        <w:t>Santa Mônica. Pela projeção do estudo atual, mesmo considerando o colapso total da barragem, ou seja, um evento de proporções bem maiores que o rompimento que aconteceu no extravasor da ombreira em 2007, a onda de inundação não afetaria o bairro Santa Mônica, em total descompasso com o caso concreto que se verificou há 10 anos.</w:t>
      </w:r>
    </w:p>
    <w:p>
      <w:pPr>
        <w:pStyle w:val="BodyText"/>
        <w:rPr>
          <w:sz w:val="26"/>
        </w:rPr>
      </w:pPr>
    </w:p>
    <w:p>
      <w:pPr>
        <w:pStyle w:val="BodyText"/>
        <w:spacing w:line="360" w:lineRule="auto" w:before="159"/>
        <w:ind w:left="1702" w:right="1695"/>
        <w:jc w:val="both"/>
      </w:pPr>
      <w:r>
        <w:rPr/>
        <w:t>Dentre outros pontos e eventos que merecem melhor acompanhamento e investigação, trazemos alguns cenários já levantados sobre hipóteses de rupturas e ondas de inundação, com sobreposição isolada ou acumulada de eventos, originados nas estruturas de barragens de grandes empresas que estão localizadas no entorno e no município de Congonhas, como a CSN, Ferrous Ressources, Gerdau Açominas e Vale, que podem impactar a área urbana e sede do município, bem como alguns distritos, provocando danos potenciais associados de proporções devastadoras e</w:t>
      </w:r>
      <w:r>
        <w:rPr>
          <w:spacing w:val="-4"/>
        </w:rPr>
        <w:t> </w:t>
      </w:r>
      <w:r>
        <w:rPr/>
        <w:t>irreparáveis.</w:t>
      </w:r>
    </w:p>
    <w:p>
      <w:pPr>
        <w:pStyle w:val="BodyText"/>
        <w:rPr>
          <w:sz w:val="20"/>
        </w:rPr>
      </w:pPr>
    </w:p>
    <w:p>
      <w:pPr>
        <w:pStyle w:val="BodyText"/>
        <w:spacing w:before="5"/>
        <w:rPr>
          <w:sz w:val="19"/>
        </w:rPr>
      </w:pPr>
      <w:r>
        <w:rPr/>
        <w:pict>
          <v:shape style="position:absolute;margin-left:475.660004pt;margin-top:12.411166pt;width:40.450pt;height:55.95pt;mso-position-horizontal-relative:page;mso-position-vertical-relative:paragraph;z-index:2552;mso-wrap-distance-left:0;mso-wrap-distance-right:0" type="#_x0000_t202" filled="true" fillcolor="#6fac46" stroked="false">
            <v:textbox inset="0,0,0,0">
              <w:txbxContent>
                <w:p>
                  <w:pPr>
                    <w:pStyle w:val="BodyText"/>
                    <w:spacing w:before="10"/>
                    <w:rPr>
                      <w:sz w:val="29"/>
                    </w:rPr>
                  </w:pPr>
                </w:p>
                <w:p>
                  <w:pPr>
                    <w:spacing w:before="0"/>
                    <w:ind w:left="220" w:right="0" w:firstLine="0"/>
                    <w:jc w:val="left"/>
                    <w:rPr>
                      <w:rFonts w:ascii="Arial"/>
                      <w:sz w:val="36"/>
                    </w:rPr>
                  </w:pPr>
                  <w:r>
                    <w:rPr>
                      <w:rFonts w:ascii="Arial"/>
                      <w:color w:val="FFFFFF"/>
                      <w:sz w:val="36"/>
                    </w:rPr>
                    <w:t>36</w:t>
                  </w:r>
                </w:p>
              </w:txbxContent>
            </v:textbox>
            <v:fill type="solid"/>
            <w10:wrap type="topAndBottom"/>
          </v:shape>
        </w:pict>
      </w:r>
    </w:p>
    <w:p>
      <w:pPr>
        <w:spacing w:after="0"/>
        <w:rPr>
          <w:sz w:val="19"/>
        </w:rPr>
        <w:sectPr>
          <w:type w:val="continuous"/>
          <w:pgSz w:w="11910" w:h="16840"/>
          <w:pgMar w:top="0" w:bottom="280" w:left="0" w:right="0"/>
        </w:sectPr>
      </w:pPr>
    </w:p>
    <w:p>
      <w:pPr>
        <w:pStyle w:val="BodyText"/>
        <w:rPr>
          <w:sz w:val="20"/>
        </w:rPr>
      </w:pPr>
    </w:p>
    <w:p>
      <w:pPr>
        <w:pStyle w:val="BodyText"/>
        <w:rPr>
          <w:sz w:val="20"/>
        </w:rPr>
      </w:pPr>
    </w:p>
    <w:p>
      <w:pPr>
        <w:pStyle w:val="BodyText"/>
        <w:spacing w:before="1"/>
        <w:rPr>
          <w:sz w:val="18"/>
        </w:rPr>
      </w:pPr>
    </w:p>
    <w:p>
      <w:pPr>
        <w:spacing w:after="0"/>
        <w:rPr>
          <w:sz w:val="18"/>
        </w:rPr>
        <w:sectPr>
          <w:pgSz w:w="11910" w:h="16840"/>
          <w:pgMar w:top="0" w:bottom="0" w:left="0" w:right="0"/>
        </w:sectPr>
      </w:pPr>
    </w:p>
    <w:p>
      <w:pPr>
        <w:pStyle w:val="Heading1"/>
        <w:spacing w:line="172" w:lineRule="auto"/>
      </w:pPr>
      <w:r>
        <w:rPr/>
        <w:drawing>
          <wp:anchor distT="0" distB="0" distL="0" distR="0" allowOverlap="1" layoutInCell="1" locked="0" behindDoc="0" simplePos="0" relativeHeight="4792">
            <wp:simplePos x="0" y="0"/>
            <wp:positionH relativeFrom="page">
              <wp:posOffset>979932</wp:posOffset>
            </wp:positionH>
            <wp:positionV relativeFrom="paragraph">
              <wp:posOffset>-9589</wp:posOffset>
            </wp:positionV>
            <wp:extent cx="1478280" cy="612648"/>
            <wp:effectExtent l="0" t="0" r="0" b="0"/>
            <wp:wrapNone/>
            <wp:docPr id="165" name="image8.png" descr=""/>
            <wp:cNvGraphicFramePr>
              <a:graphicFrameLocks noChangeAspect="1"/>
            </wp:cNvGraphicFramePr>
            <a:graphic>
              <a:graphicData uri="http://schemas.openxmlformats.org/drawingml/2006/picture">
                <pic:pic>
                  <pic:nvPicPr>
                    <pic:cNvPr id="166" name="image8.png"/>
                    <pic:cNvPicPr/>
                  </pic:nvPicPr>
                  <pic:blipFill>
                    <a:blip r:embed="rId12" cstate="print"/>
                    <a:stretch>
                      <a:fillRect/>
                    </a:stretch>
                  </pic:blipFill>
                  <pic:spPr>
                    <a:xfrm>
                      <a:off x="0" y="0"/>
                      <a:ext cx="1478280" cy="612648"/>
                    </a:xfrm>
                    <a:prstGeom prst="rect">
                      <a:avLst/>
                    </a:prstGeom>
                  </pic:spPr>
                </pic:pic>
              </a:graphicData>
            </a:graphic>
          </wp:anchor>
        </w:drawing>
      </w:r>
      <w:r>
        <w:rPr>
          <w:color w:val="385522"/>
        </w:rPr>
        <w:t>meio </w:t>
      </w:r>
      <w:r>
        <w:rPr>
          <w:color w:val="385522"/>
          <w:w w:val="95"/>
        </w:rPr>
        <w:t>ambiente</w:t>
      </w:r>
    </w:p>
    <w:p>
      <w:pPr>
        <w:spacing w:before="60"/>
        <w:ind w:left="455" w:right="0" w:firstLine="0"/>
        <w:jc w:val="left"/>
        <w:rPr>
          <w:rFonts w:ascii="Arial" w:hAnsi="Arial"/>
          <w:sz w:val="22"/>
        </w:rPr>
      </w:pPr>
      <w:r>
        <w:rPr/>
        <w:br w:type="column"/>
      </w:r>
      <w:r>
        <w:rPr>
          <w:rFonts w:ascii="Arial" w:hAnsi="Arial"/>
          <w:color w:val="385522"/>
          <w:sz w:val="22"/>
        </w:rPr>
        <w:t>Plano Municipal de Segurança de Barragens-PMSB</w:t>
      </w:r>
    </w:p>
    <w:p>
      <w:pPr>
        <w:spacing w:after="0"/>
        <w:jc w:val="left"/>
        <w:rPr>
          <w:rFonts w:ascii="Arial" w:hAnsi="Arial"/>
          <w:sz w:val="22"/>
        </w:rPr>
        <w:sectPr>
          <w:type w:val="continuous"/>
          <w:pgSz w:w="11910" w:h="16840"/>
          <w:pgMar w:top="0" w:bottom="280" w:left="0" w:right="0"/>
          <w:cols w:num="2" w:equalWidth="0">
            <w:col w:w="5155" w:space="77"/>
            <w:col w:w="6678"/>
          </w:cols>
        </w:sectPr>
      </w:pPr>
    </w:p>
    <w:p>
      <w:pPr>
        <w:pStyle w:val="BodyText"/>
        <w:rPr>
          <w:rFonts w:ascii="Arial"/>
          <w:sz w:val="20"/>
        </w:rPr>
      </w:pPr>
      <w:r>
        <w:rPr/>
        <w:drawing>
          <wp:anchor distT="0" distB="0" distL="0" distR="0" allowOverlap="1" layoutInCell="1" locked="0" behindDoc="0" simplePos="0" relativeHeight="4816">
            <wp:simplePos x="0" y="0"/>
            <wp:positionH relativeFrom="page">
              <wp:posOffset>288925</wp:posOffset>
            </wp:positionH>
            <wp:positionV relativeFrom="page">
              <wp:posOffset>634</wp:posOffset>
            </wp:positionV>
            <wp:extent cx="474344" cy="10691748"/>
            <wp:effectExtent l="0" t="0" r="0" b="0"/>
            <wp:wrapNone/>
            <wp:docPr id="167" name="image9.png" descr=""/>
            <wp:cNvGraphicFramePr>
              <a:graphicFrameLocks noChangeAspect="1"/>
            </wp:cNvGraphicFramePr>
            <a:graphic>
              <a:graphicData uri="http://schemas.openxmlformats.org/drawingml/2006/picture">
                <pic:pic>
                  <pic:nvPicPr>
                    <pic:cNvPr id="168" name="image9.png"/>
                    <pic:cNvPicPr/>
                  </pic:nvPicPr>
                  <pic:blipFill>
                    <a:blip r:embed="rId13" cstate="print"/>
                    <a:stretch>
                      <a:fillRect/>
                    </a:stretch>
                  </pic:blipFill>
                  <pic:spPr>
                    <a:xfrm>
                      <a:off x="0" y="0"/>
                      <a:ext cx="474344" cy="10691748"/>
                    </a:xfrm>
                    <a:prstGeom prst="rect">
                      <a:avLst/>
                    </a:prstGeom>
                  </pic:spPr>
                </pic:pic>
              </a:graphicData>
            </a:graphic>
          </wp:anchor>
        </w:drawing>
      </w:r>
    </w:p>
    <w:p>
      <w:pPr>
        <w:pStyle w:val="BodyText"/>
        <w:rPr>
          <w:rFonts w:ascii="Arial"/>
          <w:sz w:val="20"/>
        </w:rPr>
      </w:pPr>
    </w:p>
    <w:p>
      <w:pPr>
        <w:pStyle w:val="BodyText"/>
        <w:spacing w:before="8"/>
        <w:rPr>
          <w:rFonts w:ascii="Arial"/>
          <w:sz w:val="22"/>
        </w:rPr>
      </w:pPr>
    </w:p>
    <w:p>
      <w:pPr>
        <w:pStyle w:val="BodyText"/>
        <w:spacing w:line="259" w:lineRule="auto" w:before="1"/>
        <w:ind w:left="1702" w:right="1817"/>
      </w:pPr>
      <w:r>
        <w:rPr/>
        <w:t>O cenário que segue apresenta a sobreposição dos mapas de inundação sobrepostos das Barragens Casa de Pedra (azul) / Lago Soledade (vermelho) na sede e zona central.</w:t>
      </w:r>
    </w:p>
    <w:p>
      <w:pPr>
        <w:pStyle w:val="BodyText"/>
        <w:spacing w:before="9"/>
        <w:rPr>
          <w:sz w:val="27"/>
        </w:rPr>
      </w:pPr>
      <w:r>
        <w:rPr/>
        <w:drawing>
          <wp:anchor distT="0" distB="0" distL="0" distR="0" allowOverlap="1" layoutInCell="1" locked="0" behindDoc="0" simplePos="0" relativeHeight="2672">
            <wp:simplePos x="0" y="0"/>
            <wp:positionH relativeFrom="page">
              <wp:posOffset>1080135</wp:posOffset>
            </wp:positionH>
            <wp:positionV relativeFrom="paragraph">
              <wp:posOffset>227944</wp:posOffset>
            </wp:positionV>
            <wp:extent cx="5671202" cy="3541871"/>
            <wp:effectExtent l="0" t="0" r="0" b="0"/>
            <wp:wrapTopAndBottom/>
            <wp:docPr id="169" name="image47.jpeg" descr=""/>
            <wp:cNvGraphicFramePr>
              <a:graphicFrameLocks noChangeAspect="1"/>
            </wp:cNvGraphicFramePr>
            <a:graphic>
              <a:graphicData uri="http://schemas.openxmlformats.org/drawingml/2006/picture">
                <pic:pic>
                  <pic:nvPicPr>
                    <pic:cNvPr id="170" name="image47.jpeg"/>
                    <pic:cNvPicPr/>
                  </pic:nvPicPr>
                  <pic:blipFill>
                    <a:blip r:embed="rId55" cstate="print"/>
                    <a:stretch>
                      <a:fillRect/>
                    </a:stretch>
                  </pic:blipFill>
                  <pic:spPr>
                    <a:xfrm>
                      <a:off x="0" y="0"/>
                      <a:ext cx="5671202" cy="3541871"/>
                    </a:xfrm>
                    <a:prstGeom prst="rect">
                      <a:avLst/>
                    </a:prstGeom>
                  </pic:spPr>
                </pic:pic>
              </a:graphicData>
            </a:graphic>
          </wp:anchor>
        </w:drawing>
      </w:r>
    </w:p>
    <w:p>
      <w:pPr>
        <w:pStyle w:val="BodyText"/>
        <w:rPr>
          <w:sz w:val="26"/>
        </w:rPr>
      </w:pPr>
    </w:p>
    <w:p>
      <w:pPr>
        <w:pStyle w:val="BodyText"/>
        <w:spacing w:line="259" w:lineRule="auto" w:before="181"/>
        <w:ind w:left="1702" w:right="1711"/>
      </w:pPr>
      <w:r>
        <w:rPr/>
        <w:t>O cenário seguinte apresenta o mapa de inundação da Barragem Barnabé (VALE), e seu impacto no Parque Ecológico das Cachoeiras (roxo)</w:t>
      </w:r>
    </w:p>
    <w:p>
      <w:pPr>
        <w:pStyle w:val="BodyText"/>
        <w:spacing w:before="10"/>
        <w:rPr>
          <w:sz w:val="17"/>
        </w:rPr>
      </w:pPr>
      <w:r>
        <w:rPr/>
        <w:drawing>
          <wp:anchor distT="0" distB="0" distL="0" distR="0" allowOverlap="1" layoutInCell="1" locked="0" behindDoc="0" simplePos="0" relativeHeight="2696">
            <wp:simplePos x="0" y="0"/>
            <wp:positionH relativeFrom="page">
              <wp:posOffset>1080135</wp:posOffset>
            </wp:positionH>
            <wp:positionV relativeFrom="paragraph">
              <wp:posOffset>155299</wp:posOffset>
            </wp:positionV>
            <wp:extent cx="5661110" cy="3104102"/>
            <wp:effectExtent l="0" t="0" r="0" b="0"/>
            <wp:wrapTopAndBottom/>
            <wp:docPr id="171" name="image48.jpeg" descr=""/>
            <wp:cNvGraphicFramePr>
              <a:graphicFrameLocks noChangeAspect="1"/>
            </wp:cNvGraphicFramePr>
            <a:graphic>
              <a:graphicData uri="http://schemas.openxmlformats.org/drawingml/2006/picture">
                <pic:pic>
                  <pic:nvPicPr>
                    <pic:cNvPr id="172" name="image48.jpeg"/>
                    <pic:cNvPicPr/>
                  </pic:nvPicPr>
                  <pic:blipFill>
                    <a:blip r:embed="rId56" cstate="print"/>
                    <a:stretch>
                      <a:fillRect/>
                    </a:stretch>
                  </pic:blipFill>
                  <pic:spPr>
                    <a:xfrm>
                      <a:off x="0" y="0"/>
                      <a:ext cx="5661110" cy="3104102"/>
                    </a:xfrm>
                    <a:prstGeom prst="rect">
                      <a:avLst/>
                    </a:prstGeom>
                  </pic:spPr>
                </pic:pic>
              </a:graphicData>
            </a:graphic>
          </wp:anchor>
        </w:drawing>
      </w:r>
    </w:p>
    <w:p>
      <w:pPr>
        <w:pStyle w:val="BodyText"/>
        <w:rPr>
          <w:sz w:val="20"/>
        </w:rPr>
      </w:pPr>
    </w:p>
    <w:p>
      <w:pPr>
        <w:pStyle w:val="BodyText"/>
        <w:rPr>
          <w:sz w:val="20"/>
        </w:rPr>
      </w:pPr>
    </w:p>
    <w:p>
      <w:pPr>
        <w:pStyle w:val="BodyText"/>
        <w:spacing w:before="9"/>
        <w:rPr>
          <w:sz w:val="14"/>
        </w:rPr>
      </w:pPr>
      <w:r>
        <w:rPr/>
        <w:pict>
          <v:shape style="position:absolute;margin-left:475.660004pt;margin-top:9.720453pt;width:40.450pt;height:55.95pt;mso-position-horizontal-relative:page;mso-position-vertical-relative:paragraph;z-index:2720;mso-wrap-distance-left:0;mso-wrap-distance-right:0" type="#_x0000_t202" filled="true" fillcolor="#6fac46" stroked="false">
            <v:textbox inset="0,0,0,0">
              <w:txbxContent>
                <w:p>
                  <w:pPr>
                    <w:pStyle w:val="BodyText"/>
                    <w:spacing w:before="10"/>
                    <w:rPr>
                      <w:sz w:val="29"/>
                    </w:rPr>
                  </w:pPr>
                </w:p>
                <w:p>
                  <w:pPr>
                    <w:spacing w:before="0"/>
                    <w:ind w:left="220" w:right="0" w:firstLine="0"/>
                    <w:jc w:val="left"/>
                    <w:rPr>
                      <w:rFonts w:ascii="Arial"/>
                      <w:sz w:val="36"/>
                    </w:rPr>
                  </w:pPr>
                  <w:r>
                    <w:rPr>
                      <w:rFonts w:ascii="Arial"/>
                      <w:color w:val="FFFFFF"/>
                      <w:sz w:val="36"/>
                    </w:rPr>
                    <w:t>37</w:t>
                  </w:r>
                </w:p>
              </w:txbxContent>
            </v:textbox>
            <v:fill type="solid"/>
            <w10:wrap type="topAndBottom"/>
          </v:shape>
        </w:pict>
      </w:r>
    </w:p>
    <w:p>
      <w:pPr>
        <w:spacing w:after="0"/>
        <w:rPr>
          <w:sz w:val="14"/>
        </w:rPr>
        <w:sectPr>
          <w:type w:val="continuous"/>
          <w:pgSz w:w="11910" w:h="16840"/>
          <w:pgMar w:top="0" w:bottom="280" w:left="0" w:right="0"/>
        </w:sectPr>
      </w:pPr>
    </w:p>
    <w:p>
      <w:pPr>
        <w:pStyle w:val="BodyText"/>
        <w:rPr>
          <w:sz w:val="20"/>
        </w:rPr>
      </w:pPr>
    </w:p>
    <w:p>
      <w:pPr>
        <w:pStyle w:val="BodyText"/>
        <w:rPr>
          <w:sz w:val="20"/>
        </w:rPr>
      </w:pPr>
    </w:p>
    <w:p>
      <w:pPr>
        <w:pStyle w:val="BodyText"/>
        <w:spacing w:before="1"/>
        <w:rPr>
          <w:sz w:val="18"/>
        </w:rPr>
      </w:pPr>
    </w:p>
    <w:p>
      <w:pPr>
        <w:spacing w:after="0"/>
        <w:rPr>
          <w:sz w:val="18"/>
        </w:rPr>
        <w:sectPr>
          <w:pgSz w:w="11910" w:h="16840"/>
          <w:pgMar w:top="0" w:bottom="0" w:left="0" w:right="0"/>
        </w:sectPr>
      </w:pPr>
    </w:p>
    <w:p>
      <w:pPr>
        <w:pStyle w:val="Heading1"/>
        <w:spacing w:line="172" w:lineRule="auto"/>
      </w:pPr>
      <w:r>
        <w:rPr/>
        <w:drawing>
          <wp:anchor distT="0" distB="0" distL="0" distR="0" allowOverlap="1" layoutInCell="1" locked="0" behindDoc="0" simplePos="0" relativeHeight="4912">
            <wp:simplePos x="0" y="0"/>
            <wp:positionH relativeFrom="page">
              <wp:posOffset>979932</wp:posOffset>
            </wp:positionH>
            <wp:positionV relativeFrom="paragraph">
              <wp:posOffset>-9589</wp:posOffset>
            </wp:positionV>
            <wp:extent cx="1478280" cy="612648"/>
            <wp:effectExtent l="0" t="0" r="0" b="0"/>
            <wp:wrapNone/>
            <wp:docPr id="173" name="image8.png" descr=""/>
            <wp:cNvGraphicFramePr>
              <a:graphicFrameLocks noChangeAspect="1"/>
            </wp:cNvGraphicFramePr>
            <a:graphic>
              <a:graphicData uri="http://schemas.openxmlformats.org/drawingml/2006/picture">
                <pic:pic>
                  <pic:nvPicPr>
                    <pic:cNvPr id="174" name="image8.png"/>
                    <pic:cNvPicPr/>
                  </pic:nvPicPr>
                  <pic:blipFill>
                    <a:blip r:embed="rId12" cstate="print"/>
                    <a:stretch>
                      <a:fillRect/>
                    </a:stretch>
                  </pic:blipFill>
                  <pic:spPr>
                    <a:xfrm>
                      <a:off x="0" y="0"/>
                      <a:ext cx="1478280" cy="612648"/>
                    </a:xfrm>
                    <a:prstGeom prst="rect">
                      <a:avLst/>
                    </a:prstGeom>
                  </pic:spPr>
                </pic:pic>
              </a:graphicData>
            </a:graphic>
          </wp:anchor>
        </w:drawing>
      </w:r>
      <w:r>
        <w:rPr>
          <w:color w:val="385522"/>
        </w:rPr>
        <w:t>meio </w:t>
      </w:r>
      <w:r>
        <w:rPr>
          <w:color w:val="385522"/>
          <w:w w:val="95"/>
        </w:rPr>
        <w:t>ambiente</w:t>
      </w:r>
    </w:p>
    <w:p>
      <w:pPr>
        <w:spacing w:before="60"/>
        <w:ind w:left="455" w:right="0" w:firstLine="0"/>
        <w:jc w:val="left"/>
        <w:rPr>
          <w:rFonts w:ascii="Arial" w:hAnsi="Arial"/>
          <w:sz w:val="22"/>
        </w:rPr>
      </w:pPr>
      <w:r>
        <w:rPr/>
        <w:br w:type="column"/>
      </w:r>
      <w:r>
        <w:rPr>
          <w:rFonts w:ascii="Arial" w:hAnsi="Arial"/>
          <w:color w:val="385522"/>
          <w:sz w:val="22"/>
        </w:rPr>
        <w:t>Plano Municipal de Segurança de Barragens-PMSB</w:t>
      </w:r>
    </w:p>
    <w:p>
      <w:pPr>
        <w:spacing w:after="0"/>
        <w:jc w:val="left"/>
        <w:rPr>
          <w:rFonts w:ascii="Arial" w:hAnsi="Arial"/>
          <w:sz w:val="22"/>
        </w:rPr>
        <w:sectPr>
          <w:type w:val="continuous"/>
          <w:pgSz w:w="11910" w:h="16840"/>
          <w:pgMar w:top="0" w:bottom="280" w:left="0" w:right="0"/>
          <w:cols w:num="2" w:equalWidth="0">
            <w:col w:w="5155" w:space="77"/>
            <w:col w:w="6678"/>
          </w:cols>
        </w:sectPr>
      </w:pPr>
    </w:p>
    <w:p>
      <w:pPr>
        <w:pStyle w:val="BodyText"/>
        <w:rPr>
          <w:rFonts w:ascii="Arial"/>
          <w:sz w:val="20"/>
        </w:rPr>
      </w:pPr>
      <w:r>
        <w:rPr/>
        <w:drawing>
          <wp:anchor distT="0" distB="0" distL="0" distR="0" allowOverlap="1" layoutInCell="1" locked="0" behindDoc="0" simplePos="0" relativeHeight="4936">
            <wp:simplePos x="0" y="0"/>
            <wp:positionH relativeFrom="page">
              <wp:posOffset>288925</wp:posOffset>
            </wp:positionH>
            <wp:positionV relativeFrom="page">
              <wp:posOffset>634</wp:posOffset>
            </wp:positionV>
            <wp:extent cx="474344" cy="10691748"/>
            <wp:effectExtent l="0" t="0" r="0" b="0"/>
            <wp:wrapNone/>
            <wp:docPr id="175" name="image9.png" descr=""/>
            <wp:cNvGraphicFramePr>
              <a:graphicFrameLocks noChangeAspect="1"/>
            </wp:cNvGraphicFramePr>
            <a:graphic>
              <a:graphicData uri="http://schemas.openxmlformats.org/drawingml/2006/picture">
                <pic:pic>
                  <pic:nvPicPr>
                    <pic:cNvPr id="176" name="image9.png"/>
                    <pic:cNvPicPr/>
                  </pic:nvPicPr>
                  <pic:blipFill>
                    <a:blip r:embed="rId13" cstate="print"/>
                    <a:stretch>
                      <a:fillRect/>
                    </a:stretch>
                  </pic:blipFill>
                  <pic:spPr>
                    <a:xfrm>
                      <a:off x="0" y="0"/>
                      <a:ext cx="474344" cy="10691748"/>
                    </a:xfrm>
                    <a:prstGeom prst="rect">
                      <a:avLst/>
                    </a:prstGeom>
                  </pic:spPr>
                </pic:pic>
              </a:graphicData>
            </a:graphic>
          </wp:anchor>
        </w:drawing>
      </w:r>
    </w:p>
    <w:p>
      <w:pPr>
        <w:pStyle w:val="BodyText"/>
        <w:rPr>
          <w:rFonts w:ascii="Arial"/>
          <w:sz w:val="20"/>
        </w:rPr>
      </w:pPr>
    </w:p>
    <w:p>
      <w:pPr>
        <w:pStyle w:val="BodyText"/>
        <w:spacing w:before="8"/>
        <w:rPr>
          <w:rFonts w:ascii="Arial"/>
          <w:sz w:val="22"/>
        </w:rPr>
      </w:pPr>
    </w:p>
    <w:p>
      <w:pPr>
        <w:pStyle w:val="BodyText"/>
        <w:spacing w:line="259" w:lineRule="auto" w:before="1"/>
        <w:ind w:left="1702" w:right="1745"/>
      </w:pPr>
      <w:r>
        <w:rPr/>
        <w:t>O cenário que segue apresenta uma visão geral e parcial do mapa de inundação do Lago Soledade - GERDAU (vermelho)</w:t>
      </w:r>
    </w:p>
    <w:p>
      <w:pPr>
        <w:pStyle w:val="BodyText"/>
        <w:spacing w:before="9"/>
        <w:rPr>
          <w:sz w:val="17"/>
        </w:rPr>
      </w:pPr>
      <w:r>
        <w:rPr/>
        <w:drawing>
          <wp:anchor distT="0" distB="0" distL="0" distR="0" allowOverlap="1" layoutInCell="1" locked="0" behindDoc="0" simplePos="0" relativeHeight="2792">
            <wp:simplePos x="0" y="0"/>
            <wp:positionH relativeFrom="page">
              <wp:posOffset>1099185</wp:posOffset>
            </wp:positionH>
            <wp:positionV relativeFrom="paragraph">
              <wp:posOffset>155046</wp:posOffset>
            </wp:positionV>
            <wp:extent cx="5479867" cy="3366135"/>
            <wp:effectExtent l="0" t="0" r="0" b="0"/>
            <wp:wrapTopAndBottom/>
            <wp:docPr id="177" name="image49.jpeg" descr=""/>
            <wp:cNvGraphicFramePr>
              <a:graphicFrameLocks noChangeAspect="1"/>
            </wp:cNvGraphicFramePr>
            <a:graphic>
              <a:graphicData uri="http://schemas.openxmlformats.org/drawingml/2006/picture">
                <pic:pic>
                  <pic:nvPicPr>
                    <pic:cNvPr id="178" name="image49.jpeg"/>
                    <pic:cNvPicPr/>
                  </pic:nvPicPr>
                  <pic:blipFill>
                    <a:blip r:embed="rId57" cstate="print"/>
                    <a:stretch>
                      <a:fillRect/>
                    </a:stretch>
                  </pic:blipFill>
                  <pic:spPr>
                    <a:xfrm>
                      <a:off x="0" y="0"/>
                      <a:ext cx="5479867" cy="3366135"/>
                    </a:xfrm>
                    <a:prstGeom prst="rect">
                      <a:avLst/>
                    </a:prstGeom>
                  </pic:spPr>
                </pic:pic>
              </a:graphicData>
            </a:graphic>
          </wp:anchor>
        </w:drawing>
      </w:r>
    </w:p>
    <w:p>
      <w:pPr>
        <w:pStyle w:val="BodyText"/>
        <w:rPr>
          <w:sz w:val="26"/>
        </w:rPr>
      </w:pPr>
    </w:p>
    <w:p>
      <w:pPr>
        <w:pStyle w:val="BodyText"/>
        <w:spacing w:before="5"/>
        <w:rPr>
          <w:sz w:val="32"/>
        </w:rPr>
      </w:pPr>
    </w:p>
    <w:p>
      <w:pPr>
        <w:pStyle w:val="BodyText"/>
        <w:spacing w:line="259" w:lineRule="auto"/>
        <w:ind w:left="1702" w:right="2311"/>
        <w:rPr>
          <w:i/>
        </w:rPr>
      </w:pPr>
      <w:r>
        <w:rPr/>
        <w:t>O cenário que segue apresenta uma visão geral e parcial do mapa de inundação da Barragem Casa de Pedra - CSN </w:t>
      </w:r>
      <w:r>
        <w:rPr>
          <w:i/>
        </w:rPr>
        <w:t>(azul)</w:t>
      </w:r>
    </w:p>
    <w:p>
      <w:pPr>
        <w:pStyle w:val="BodyText"/>
        <w:spacing w:before="10"/>
        <w:rPr>
          <w:i/>
          <w:sz w:val="17"/>
        </w:rPr>
      </w:pPr>
      <w:r>
        <w:rPr/>
        <w:drawing>
          <wp:anchor distT="0" distB="0" distL="0" distR="0" allowOverlap="1" layoutInCell="1" locked="0" behindDoc="0" simplePos="0" relativeHeight="2816">
            <wp:simplePos x="0" y="0"/>
            <wp:positionH relativeFrom="page">
              <wp:posOffset>1099185</wp:posOffset>
            </wp:positionH>
            <wp:positionV relativeFrom="paragraph">
              <wp:posOffset>155579</wp:posOffset>
            </wp:positionV>
            <wp:extent cx="5536938" cy="3286601"/>
            <wp:effectExtent l="0" t="0" r="0" b="0"/>
            <wp:wrapTopAndBottom/>
            <wp:docPr id="179" name="image50.jpeg" descr=""/>
            <wp:cNvGraphicFramePr>
              <a:graphicFrameLocks noChangeAspect="1"/>
            </wp:cNvGraphicFramePr>
            <a:graphic>
              <a:graphicData uri="http://schemas.openxmlformats.org/drawingml/2006/picture">
                <pic:pic>
                  <pic:nvPicPr>
                    <pic:cNvPr id="180" name="image50.jpeg"/>
                    <pic:cNvPicPr/>
                  </pic:nvPicPr>
                  <pic:blipFill>
                    <a:blip r:embed="rId58" cstate="print"/>
                    <a:stretch>
                      <a:fillRect/>
                    </a:stretch>
                  </pic:blipFill>
                  <pic:spPr>
                    <a:xfrm>
                      <a:off x="0" y="0"/>
                      <a:ext cx="5536938" cy="3286601"/>
                    </a:xfrm>
                    <a:prstGeom prst="rect">
                      <a:avLst/>
                    </a:prstGeom>
                  </pic:spPr>
                </pic:pic>
              </a:graphicData>
            </a:graphic>
          </wp:anchor>
        </w:drawing>
      </w:r>
    </w:p>
    <w:p>
      <w:pPr>
        <w:pStyle w:val="BodyText"/>
        <w:rPr>
          <w:i/>
          <w:sz w:val="20"/>
        </w:rPr>
      </w:pPr>
    </w:p>
    <w:p>
      <w:pPr>
        <w:pStyle w:val="BodyText"/>
        <w:spacing w:before="1"/>
        <w:rPr>
          <w:i/>
          <w:sz w:val="27"/>
        </w:rPr>
      </w:pPr>
      <w:r>
        <w:rPr/>
        <w:pict>
          <v:shape style="position:absolute;margin-left:475.660004pt;margin-top:16.806477pt;width:40.450pt;height:55.95pt;mso-position-horizontal-relative:page;mso-position-vertical-relative:paragraph;z-index:2840;mso-wrap-distance-left:0;mso-wrap-distance-right:0" type="#_x0000_t202" filled="true" fillcolor="#6fac46" stroked="false">
            <v:textbox inset="0,0,0,0">
              <w:txbxContent>
                <w:p>
                  <w:pPr>
                    <w:pStyle w:val="BodyText"/>
                    <w:spacing w:before="10"/>
                    <w:rPr>
                      <w:i/>
                      <w:sz w:val="29"/>
                    </w:rPr>
                  </w:pPr>
                </w:p>
                <w:p>
                  <w:pPr>
                    <w:spacing w:before="0"/>
                    <w:ind w:left="220" w:right="0" w:firstLine="0"/>
                    <w:jc w:val="left"/>
                    <w:rPr>
                      <w:rFonts w:ascii="Arial"/>
                      <w:sz w:val="36"/>
                    </w:rPr>
                  </w:pPr>
                  <w:r>
                    <w:rPr>
                      <w:rFonts w:ascii="Arial"/>
                      <w:color w:val="FFFFFF"/>
                      <w:sz w:val="36"/>
                    </w:rPr>
                    <w:t>38</w:t>
                  </w:r>
                </w:p>
              </w:txbxContent>
            </v:textbox>
            <v:fill type="solid"/>
            <w10:wrap type="topAndBottom"/>
          </v:shape>
        </w:pict>
      </w:r>
    </w:p>
    <w:p>
      <w:pPr>
        <w:spacing w:after="0"/>
        <w:rPr>
          <w:sz w:val="27"/>
        </w:rPr>
        <w:sectPr>
          <w:type w:val="continuous"/>
          <w:pgSz w:w="11910" w:h="16840"/>
          <w:pgMar w:top="0" w:bottom="280" w:left="0" w:right="0"/>
        </w:sectPr>
      </w:pPr>
    </w:p>
    <w:p>
      <w:pPr>
        <w:pStyle w:val="BodyText"/>
        <w:rPr>
          <w:i/>
          <w:sz w:val="20"/>
        </w:rPr>
      </w:pPr>
    </w:p>
    <w:p>
      <w:pPr>
        <w:pStyle w:val="BodyText"/>
        <w:rPr>
          <w:i/>
          <w:sz w:val="20"/>
        </w:rPr>
      </w:pPr>
    </w:p>
    <w:p>
      <w:pPr>
        <w:pStyle w:val="BodyText"/>
        <w:spacing w:before="1"/>
        <w:rPr>
          <w:i/>
          <w:sz w:val="18"/>
        </w:rPr>
      </w:pPr>
    </w:p>
    <w:p>
      <w:pPr>
        <w:spacing w:after="0"/>
        <w:rPr>
          <w:sz w:val="18"/>
        </w:rPr>
        <w:sectPr>
          <w:pgSz w:w="11910" w:h="16840"/>
          <w:pgMar w:top="0" w:bottom="0" w:left="0" w:right="0"/>
        </w:sectPr>
      </w:pPr>
    </w:p>
    <w:p>
      <w:pPr>
        <w:pStyle w:val="Heading1"/>
        <w:spacing w:line="172" w:lineRule="auto"/>
      </w:pPr>
      <w:r>
        <w:rPr/>
        <w:drawing>
          <wp:anchor distT="0" distB="0" distL="0" distR="0" allowOverlap="1" layoutInCell="1" locked="0" behindDoc="0" simplePos="0" relativeHeight="5008">
            <wp:simplePos x="0" y="0"/>
            <wp:positionH relativeFrom="page">
              <wp:posOffset>979932</wp:posOffset>
            </wp:positionH>
            <wp:positionV relativeFrom="paragraph">
              <wp:posOffset>-9589</wp:posOffset>
            </wp:positionV>
            <wp:extent cx="1478280" cy="612648"/>
            <wp:effectExtent l="0" t="0" r="0" b="0"/>
            <wp:wrapNone/>
            <wp:docPr id="181" name="image8.png" descr=""/>
            <wp:cNvGraphicFramePr>
              <a:graphicFrameLocks noChangeAspect="1"/>
            </wp:cNvGraphicFramePr>
            <a:graphic>
              <a:graphicData uri="http://schemas.openxmlformats.org/drawingml/2006/picture">
                <pic:pic>
                  <pic:nvPicPr>
                    <pic:cNvPr id="182" name="image8.png"/>
                    <pic:cNvPicPr/>
                  </pic:nvPicPr>
                  <pic:blipFill>
                    <a:blip r:embed="rId12" cstate="print"/>
                    <a:stretch>
                      <a:fillRect/>
                    </a:stretch>
                  </pic:blipFill>
                  <pic:spPr>
                    <a:xfrm>
                      <a:off x="0" y="0"/>
                      <a:ext cx="1478280" cy="612648"/>
                    </a:xfrm>
                    <a:prstGeom prst="rect">
                      <a:avLst/>
                    </a:prstGeom>
                  </pic:spPr>
                </pic:pic>
              </a:graphicData>
            </a:graphic>
          </wp:anchor>
        </w:drawing>
      </w:r>
      <w:r>
        <w:rPr>
          <w:color w:val="385522"/>
        </w:rPr>
        <w:t>meio </w:t>
      </w:r>
      <w:r>
        <w:rPr>
          <w:color w:val="385522"/>
          <w:w w:val="95"/>
        </w:rPr>
        <w:t>ambiente</w:t>
      </w:r>
    </w:p>
    <w:p>
      <w:pPr>
        <w:spacing w:before="60"/>
        <w:ind w:left="455" w:right="0" w:firstLine="0"/>
        <w:jc w:val="left"/>
        <w:rPr>
          <w:rFonts w:ascii="Arial" w:hAnsi="Arial"/>
          <w:sz w:val="22"/>
        </w:rPr>
      </w:pPr>
      <w:r>
        <w:rPr/>
        <w:br w:type="column"/>
      </w:r>
      <w:r>
        <w:rPr>
          <w:rFonts w:ascii="Arial" w:hAnsi="Arial"/>
          <w:color w:val="385522"/>
          <w:sz w:val="22"/>
        </w:rPr>
        <w:t>Plano Municipal de Segurança de Barragens-PMSB</w:t>
      </w:r>
    </w:p>
    <w:p>
      <w:pPr>
        <w:spacing w:after="0"/>
        <w:jc w:val="left"/>
        <w:rPr>
          <w:rFonts w:ascii="Arial" w:hAnsi="Arial"/>
          <w:sz w:val="22"/>
        </w:rPr>
        <w:sectPr>
          <w:type w:val="continuous"/>
          <w:pgSz w:w="11910" w:h="16840"/>
          <w:pgMar w:top="0" w:bottom="280" w:left="0" w:right="0"/>
          <w:cols w:num="2" w:equalWidth="0">
            <w:col w:w="5155" w:space="77"/>
            <w:col w:w="6678"/>
          </w:cols>
        </w:sectPr>
      </w:pPr>
    </w:p>
    <w:p>
      <w:pPr>
        <w:pStyle w:val="BodyText"/>
        <w:rPr>
          <w:rFonts w:ascii="Arial"/>
          <w:sz w:val="20"/>
        </w:rPr>
      </w:pPr>
      <w:r>
        <w:rPr/>
        <w:drawing>
          <wp:anchor distT="0" distB="0" distL="0" distR="0" allowOverlap="1" layoutInCell="1" locked="0" behindDoc="0" simplePos="0" relativeHeight="5032">
            <wp:simplePos x="0" y="0"/>
            <wp:positionH relativeFrom="page">
              <wp:posOffset>288925</wp:posOffset>
            </wp:positionH>
            <wp:positionV relativeFrom="page">
              <wp:posOffset>634</wp:posOffset>
            </wp:positionV>
            <wp:extent cx="474344" cy="10691748"/>
            <wp:effectExtent l="0" t="0" r="0" b="0"/>
            <wp:wrapNone/>
            <wp:docPr id="183" name="image9.png" descr=""/>
            <wp:cNvGraphicFramePr>
              <a:graphicFrameLocks noChangeAspect="1"/>
            </wp:cNvGraphicFramePr>
            <a:graphic>
              <a:graphicData uri="http://schemas.openxmlformats.org/drawingml/2006/picture">
                <pic:pic>
                  <pic:nvPicPr>
                    <pic:cNvPr id="184" name="image9.png"/>
                    <pic:cNvPicPr/>
                  </pic:nvPicPr>
                  <pic:blipFill>
                    <a:blip r:embed="rId13" cstate="print"/>
                    <a:stretch>
                      <a:fillRect/>
                    </a:stretch>
                  </pic:blipFill>
                  <pic:spPr>
                    <a:xfrm>
                      <a:off x="0" y="0"/>
                      <a:ext cx="474344" cy="10691748"/>
                    </a:xfrm>
                    <a:prstGeom prst="rect">
                      <a:avLst/>
                    </a:prstGeom>
                  </pic:spPr>
                </pic:pic>
              </a:graphicData>
            </a:graphic>
          </wp:anchor>
        </w:drawing>
      </w:r>
    </w:p>
    <w:p>
      <w:pPr>
        <w:pStyle w:val="BodyText"/>
        <w:rPr>
          <w:rFonts w:ascii="Arial"/>
          <w:sz w:val="20"/>
        </w:rPr>
      </w:pPr>
    </w:p>
    <w:p>
      <w:pPr>
        <w:pStyle w:val="BodyText"/>
        <w:spacing w:before="8"/>
        <w:rPr>
          <w:rFonts w:ascii="Arial"/>
          <w:sz w:val="22"/>
        </w:rPr>
      </w:pPr>
    </w:p>
    <w:p>
      <w:pPr>
        <w:pStyle w:val="BodyText"/>
        <w:spacing w:before="1"/>
        <w:ind w:left="1702"/>
      </w:pPr>
      <w:r>
        <w:rPr/>
        <w:t>A figura a seguir apresenta uma visão geral com sobreposição de diversos cenários.</w:t>
      </w:r>
    </w:p>
    <w:p>
      <w:pPr>
        <w:pStyle w:val="BodyText"/>
        <w:rPr>
          <w:sz w:val="20"/>
        </w:rPr>
      </w:pPr>
    </w:p>
    <w:p>
      <w:pPr>
        <w:pStyle w:val="BodyText"/>
        <w:spacing w:before="7"/>
        <w:rPr>
          <w:sz w:val="10"/>
        </w:rPr>
      </w:pPr>
      <w:r>
        <w:rPr/>
        <w:drawing>
          <wp:anchor distT="0" distB="0" distL="0" distR="0" allowOverlap="1" layoutInCell="1" locked="0" behindDoc="0" simplePos="0" relativeHeight="2912">
            <wp:simplePos x="0" y="0"/>
            <wp:positionH relativeFrom="page">
              <wp:posOffset>1080008</wp:posOffset>
            </wp:positionH>
            <wp:positionV relativeFrom="paragraph">
              <wp:posOffset>102310</wp:posOffset>
            </wp:positionV>
            <wp:extent cx="5600138" cy="7681150"/>
            <wp:effectExtent l="0" t="0" r="0" b="0"/>
            <wp:wrapTopAndBottom/>
            <wp:docPr id="185" name="image51.jpeg" descr=""/>
            <wp:cNvGraphicFramePr>
              <a:graphicFrameLocks noChangeAspect="1"/>
            </wp:cNvGraphicFramePr>
            <a:graphic>
              <a:graphicData uri="http://schemas.openxmlformats.org/drawingml/2006/picture">
                <pic:pic>
                  <pic:nvPicPr>
                    <pic:cNvPr id="186" name="image51.jpeg"/>
                    <pic:cNvPicPr/>
                  </pic:nvPicPr>
                  <pic:blipFill>
                    <a:blip r:embed="rId59" cstate="print"/>
                    <a:stretch>
                      <a:fillRect/>
                    </a:stretch>
                  </pic:blipFill>
                  <pic:spPr>
                    <a:xfrm>
                      <a:off x="0" y="0"/>
                      <a:ext cx="5600138" cy="7681150"/>
                    </a:xfrm>
                    <a:prstGeom prst="rect">
                      <a:avLst/>
                    </a:prstGeom>
                  </pic:spPr>
                </pic:pic>
              </a:graphicData>
            </a:graphic>
          </wp:anchor>
        </w:drawing>
      </w:r>
    </w:p>
    <w:p>
      <w:pPr>
        <w:pStyle w:val="BodyText"/>
        <w:rPr>
          <w:sz w:val="20"/>
        </w:rPr>
      </w:pPr>
    </w:p>
    <w:p>
      <w:pPr>
        <w:pStyle w:val="BodyText"/>
        <w:rPr>
          <w:sz w:val="20"/>
        </w:rPr>
      </w:pPr>
    </w:p>
    <w:p>
      <w:pPr>
        <w:pStyle w:val="BodyText"/>
        <w:spacing w:before="5"/>
        <w:rPr>
          <w:sz w:val="15"/>
        </w:rPr>
      </w:pPr>
      <w:r>
        <w:rPr/>
        <w:pict>
          <v:shape style="position:absolute;margin-left:475.660004pt;margin-top:10.092958pt;width:40.450pt;height:55.95pt;mso-position-horizontal-relative:page;mso-position-vertical-relative:paragraph;z-index:2936;mso-wrap-distance-left:0;mso-wrap-distance-right:0" type="#_x0000_t202" filled="true" fillcolor="#6fac46" stroked="false">
            <v:textbox inset="0,0,0,0">
              <w:txbxContent>
                <w:p>
                  <w:pPr>
                    <w:pStyle w:val="BodyText"/>
                    <w:spacing w:before="10"/>
                    <w:rPr>
                      <w:sz w:val="29"/>
                    </w:rPr>
                  </w:pPr>
                </w:p>
                <w:p>
                  <w:pPr>
                    <w:spacing w:before="0"/>
                    <w:ind w:left="220" w:right="0" w:firstLine="0"/>
                    <w:jc w:val="left"/>
                    <w:rPr>
                      <w:rFonts w:ascii="Arial"/>
                      <w:sz w:val="36"/>
                    </w:rPr>
                  </w:pPr>
                  <w:r>
                    <w:rPr>
                      <w:rFonts w:ascii="Arial"/>
                      <w:color w:val="FFFFFF"/>
                      <w:sz w:val="36"/>
                    </w:rPr>
                    <w:t>39</w:t>
                  </w:r>
                </w:p>
              </w:txbxContent>
            </v:textbox>
            <v:fill type="solid"/>
            <w10:wrap type="topAndBottom"/>
          </v:shape>
        </w:pict>
      </w:r>
    </w:p>
    <w:p>
      <w:pPr>
        <w:spacing w:after="0"/>
        <w:rPr>
          <w:sz w:val="15"/>
        </w:rPr>
        <w:sectPr>
          <w:type w:val="continuous"/>
          <w:pgSz w:w="11910" w:h="16840"/>
          <w:pgMar w:top="0" w:bottom="280" w:left="0" w:right="0"/>
        </w:sectPr>
      </w:pPr>
    </w:p>
    <w:p>
      <w:pPr>
        <w:pStyle w:val="BodyText"/>
        <w:rPr>
          <w:sz w:val="20"/>
        </w:rPr>
      </w:pPr>
    </w:p>
    <w:p>
      <w:pPr>
        <w:pStyle w:val="BodyText"/>
        <w:rPr>
          <w:sz w:val="20"/>
        </w:rPr>
      </w:pPr>
    </w:p>
    <w:p>
      <w:pPr>
        <w:pStyle w:val="BodyText"/>
        <w:spacing w:before="9"/>
        <w:rPr>
          <w:sz w:val="16"/>
        </w:rPr>
      </w:pPr>
    </w:p>
    <w:p>
      <w:pPr>
        <w:pStyle w:val="BodyText"/>
        <w:ind w:left="1543"/>
        <w:rPr>
          <w:sz w:val="20"/>
        </w:rPr>
      </w:pPr>
      <w:r>
        <w:rPr>
          <w:sz w:val="20"/>
        </w:rPr>
        <w:drawing>
          <wp:inline distT="0" distB="0" distL="0" distR="0">
            <wp:extent cx="1478280" cy="612648"/>
            <wp:effectExtent l="0" t="0" r="0" b="0"/>
            <wp:docPr id="187" name="image8.png" descr=""/>
            <wp:cNvGraphicFramePr>
              <a:graphicFrameLocks noChangeAspect="1"/>
            </wp:cNvGraphicFramePr>
            <a:graphic>
              <a:graphicData uri="http://schemas.openxmlformats.org/drawingml/2006/picture">
                <pic:pic>
                  <pic:nvPicPr>
                    <pic:cNvPr id="188" name="image8.png"/>
                    <pic:cNvPicPr/>
                  </pic:nvPicPr>
                  <pic:blipFill>
                    <a:blip r:embed="rId12" cstate="print"/>
                    <a:stretch>
                      <a:fillRect/>
                    </a:stretch>
                  </pic:blipFill>
                  <pic:spPr>
                    <a:xfrm>
                      <a:off x="0" y="0"/>
                      <a:ext cx="1478280" cy="612648"/>
                    </a:xfrm>
                    <a:prstGeom prst="rect">
                      <a:avLst/>
                    </a:prstGeom>
                  </pic:spPr>
                </pic:pic>
              </a:graphicData>
            </a:graphic>
          </wp:inline>
        </w:drawing>
      </w:r>
      <w:r>
        <w:rPr>
          <w:sz w:val="20"/>
        </w:rPr>
      </w:r>
    </w:p>
    <w:p>
      <w:pPr>
        <w:pStyle w:val="BodyText"/>
        <w:spacing w:before="7"/>
        <w:rPr>
          <w:sz w:val="31"/>
        </w:rPr>
      </w:pPr>
    </w:p>
    <w:p>
      <w:pPr>
        <w:pStyle w:val="Heading3"/>
        <w:numPr>
          <w:ilvl w:val="0"/>
          <w:numId w:val="2"/>
        </w:numPr>
        <w:tabs>
          <w:tab w:pos="2346" w:val="left" w:leader="none"/>
        </w:tabs>
        <w:spacing w:line="240" w:lineRule="auto" w:before="0" w:after="0"/>
        <w:ind w:left="2345" w:right="0" w:hanging="360"/>
        <w:jc w:val="left"/>
      </w:pPr>
      <w:bookmarkStart w:name="_bookmark11" w:id="23"/>
      <w:bookmarkEnd w:id="23"/>
      <w:r>
        <w:rPr>
          <w:b w:val="0"/>
        </w:rPr>
      </w:r>
      <w:bookmarkStart w:name="_bookmark11" w:id="24"/>
      <w:bookmarkEnd w:id="24"/>
      <w:r>
        <w:rPr>
          <w:spacing w:val="-1"/>
        </w:rPr>
        <w:t>CON</w:t>
      </w:r>
      <w:r>
        <w:rPr>
          <w:spacing w:val="-1"/>
        </w:rPr>
        <w:t>CLUSÃO.</w:t>
      </w:r>
    </w:p>
    <w:p>
      <w:pPr>
        <w:pStyle w:val="BodyText"/>
        <w:rPr>
          <w:b/>
          <w:sz w:val="28"/>
        </w:rPr>
      </w:pPr>
      <w:r>
        <w:rPr/>
        <w:br w:type="column"/>
      </w:r>
      <w:r>
        <w:rPr>
          <w:b/>
          <w:sz w:val="28"/>
        </w:rPr>
      </w:r>
    </w:p>
    <w:p>
      <w:pPr>
        <w:pStyle w:val="BodyText"/>
        <w:spacing w:before="2"/>
        <w:rPr>
          <w:b/>
          <w:sz w:val="41"/>
        </w:rPr>
      </w:pPr>
    </w:p>
    <w:p>
      <w:pPr>
        <w:spacing w:line="172" w:lineRule="auto" w:before="0"/>
        <w:ind w:left="47" w:right="15" w:hanging="5"/>
        <w:jc w:val="left"/>
        <w:rPr>
          <w:rFonts w:ascii="Arial"/>
          <w:sz w:val="28"/>
        </w:rPr>
      </w:pPr>
      <w:r>
        <w:rPr>
          <w:rFonts w:ascii="Arial"/>
          <w:color w:val="385522"/>
          <w:sz w:val="28"/>
        </w:rPr>
        <w:t>meio </w:t>
      </w:r>
      <w:r>
        <w:rPr>
          <w:rFonts w:ascii="Arial"/>
          <w:color w:val="385522"/>
          <w:w w:val="95"/>
          <w:sz w:val="28"/>
        </w:rPr>
        <w:t>ambiente</w:t>
      </w:r>
    </w:p>
    <w:p>
      <w:pPr>
        <w:pStyle w:val="BodyText"/>
        <w:rPr>
          <w:rFonts w:ascii="Arial"/>
          <w:sz w:val="22"/>
        </w:rPr>
      </w:pPr>
      <w:r>
        <w:rPr/>
        <w:br w:type="column"/>
      </w:r>
      <w:r>
        <w:rPr>
          <w:rFonts w:ascii="Arial"/>
          <w:sz w:val="22"/>
        </w:rPr>
      </w:r>
    </w:p>
    <w:p>
      <w:pPr>
        <w:pStyle w:val="BodyText"/>
        <w:rPr>
          <w:rFonts w:ascii="Arial"/>
          <w:sz w:val="22"/>
        </w:rPr>
      </w:pPr>
    </w:p>
    <w:p>
      <w:pPr>
        <w:pStyle w:val="BodyText"/>
        <w:spacing w:before="3"/>
        <w:rPr>
          <w:rFonts w:ascii="Arial"/>
          <w:sz w:val="19"/>
        </w:rPr>
      </w:pPr>
    </w:p>
    <w:p>
      <w:pPr>
        <w:spacing w:before="0"/>
        <w:ind w:left="455" w:right="0" w:firstLine="0"/>
        <w:jc w:val="left"/>
        <w:rPr>
          <w:rFonts w:ascii="Arial" w:hAnsi="Arial"/>
          <w:sz w:val="22"/>
        </w:rPr>
      </w:pPr>
      <w:r>
        <w:rPr>
          <w:rFonts w:ascii="Arial" w:hAnsi="Arial"/>
          <w:color w:val="385522"/>
          <w:sz w:val="22"/>
        </w:rPr>
        <w:t>Plano Municipal de Segurança de Barragens-PMSB</w:t>
      </w:r>
    </w:p>
    <w:p>
      <w:pPr>
        <w:spacing w:after="0"/>
        <w:jc w:val="left"/>
        <w:rPr>
          <w:rFonts w:ascii="Arial" w:hAnsi="Arial"/>
          <w:sz w:val="22"/>
        </w:rPr>
        <w:sectPr>
          <w:pgSz w:w="11910" w:h="16840"/>
          <w:pgMar w:top="0" w:bottom="0" w:left="0" w:right="0"/>
          <w:cols w:num="3" w:equalWidth="0">
            <w:col w:w="3938" w:space="40"/>
            <w:col w:w="1177" w:space="77"/>
            <w:col w:w="6678"/>
          </w:cols>
        </w:sectPr>
      </w:pPr>
    </w:p>
    <w:p>
      <w:pPr>
        <w:pStyle w:val="BodyText"/>
        <w:rPr>
          <w:rFonts w:ascii="Arial"/>
          <w:sz w:val="20"/>
        </w:rPr>
      </w:pPr>
      <w:r>
        <w:rPr/>
        <w:drawing>
          <wp:anchor distT="0" distB="0" distL="0" distR="0" allowOverlap="1" layoutInCell="1" locked="0" behindDoc="0" simplePos="0" relativeHeight="5104">
            <wp:simplePos x="0" y="0"/>
            <wp:positionH relativeFrom="page">
              <wp:posOffset>288925</wp:posOffset>
            </wp:positionH>
            <wp:positionV relativeFrom="page">
              <wp:posOffset>634</wp:posOffset>
            </wp:positionV>
            <wp:extent cx="474344" cy="10691748"/>
            <wp:effectExtent l="0" t="0" r="0" b="0"/>
            <wp:wrapNone/>
            <wp:docPr id="189" name="image9.png" descr=""/>
            <wp:cNvGraphicFramePr>
              <a:graphicFrameLocks noChangeAspect="1"/>
            </wp:cNvGraphicFramePr>
            <a:graphic>
              <a:graphicData uri="http://schemas.openxmlformats.org/drawingml/2006/picture">
                <pic:pic>
                  <pic:nvPicPr>
                    <pic:cNvPr id="190" name="image9.png"/>
                    <pic:cNvPicPr/>
                  </pic:nvPicPr>
                  <pic:blipFill>
                    <a:blip r:embed="rId13" cstate="print"/>
                    <a:stretch>
                      <a:fillRect/>
                    </a:stretch>
                  </pic:blipFill>
                  <pic:spPr>
                    <a:xfrm>
                      <a:off x="0" y="0"/>
                      <a:ext cx="474344" cy="10691748"/>
                    </a:xfrm>
                    <a:prstGeom prst="rect">
                      <a:avLst/>
                    </a:prstGeom>
                  </pic:spPr>
                </pic:pic>
              </a:graphicData>
            </a:graphic>
          </wp:anchor>
        </w:drawing>
      </w:r>
    </w:p>
    <w:p>
      <w:pPr>
        <w:pStyle w:val="BodyText"/>
        <w:rPr>
          <w:rFonts w:ascii="Arial"/>
          <w:sz w:val="23"/>
        </w:rPr>
      </w:pPr>
    </w:p>
    <w:p>
      <w:pPr>
        <w:spacing w:line="360" w:lineRule="auto" w:before="0"/>
        <w:ind w:left="1702" w:right="1695" w:firstLine="0"/>
        <w:jc w:val="both"/>
        <w:rPr>
          <w:sz w:val="24"/>
        </w:rPr>
      </w:pPr>
      <w:r>
        <w:rPr>
          <w:sz w:val="24"/>
        </w:rPr>
        <w:t>Considerando </w:t>
      </w:r>
      <w:r>
        <w:rPr>
          <w:i/>
          <w:sz w:val="24"/>
        </w:rPr>
        <w:t>a taxa de 2 a 5 acidentes de grande porte por ano </w:t>
      </w:r>
      <w:r>
        <w:rPr>
          <w:sz w:val="24"/>
        </w:rPr>
        <w:t>durante o período de 1970-2000 (AZAM &amp; LI, 2010), sendo a maioria e os últimos ocasionados situações já resolvidas pela tecnologia disponível;</w:t>
      </w:r>
    </w:p>
    <w:p>
      <w:pPr>
        <w:pStyle w:val="BodyText"/>
        <w:rPr>
          <w:sz w:val="21"/>
        </w:rPr>
      </w:pPr>
    </w:p>
    <w:p>
      <w:pPr>
        <w:pStyle w:val="BodyText"/>
        <w:spacing w:line="360" w:lineRule="auto"/>
        <w:ind w:left="1702" w:right="1698"/>
        <w:jc w:val="both"/>
      </w:pPr>
      <w:r>
        <w:rPr/>
        <w:t>Considerando o acervo de informações modesto e de </w:t>
      </w:r>
      <w:r>
        <w:rPr>
          <w:i/>
        </w:rPr>
        <w:t>investigações precárias </w:t>
      </w:r>
      <w:r>
        <w:rPr/>
        <w:t>sobre os casos concretos de rupturas que se verificaram, sobretudo no Brasil;</w:t>
      </w:r>
    </w:p>
    <w:p>
      <w:pPr>
        <w:pStyle w:val="BodyText"/>
        <w:spacing w:before="8"/>
        <w:rPr>
          <w:sz w:val="20"/>
        </w:rPr>
      </w:pPr>
    </w:p>
    <w:p>
      <w:pPr>
        <w:spacing w:line="362" w:lineRule="auto" w:before="0"/>
        <w:ind w:left="1702" w:right="1696" w:firstLine="0"/>
        <w:jc w:val="both"/>
        <w:rPr>
          <w:sz w:val="24"/>
        </w:rPr>
      </w:pPr>
      <w:r>
        <w:rPr>
          <w:sz w:val="24"/>
        </w:rPr>
        <w:t>Considerando que </w:t>
      </w:r>
      <w:r>
        <w:rPr>
          <w:i/>
          <w:sz w:val="24"/>
        </w:rPr>
        <w:t>proprietários e operadores tem a responsabilidade de adotar e </w:t>
      </w:r>
      <w:r>
        <w:rPr>
          <w:i/>
          <w:sz w:val="24"/>
        </w:rPr>
        <w:t>custear procedimentos de segurança </w:t>
      </w:r>
      <w:r>
        <w:rPr>
          <w:sz w:val="24"/>
        </w:rPr>
        <w:t>para prevenção e redução de riscos;</w:t>
      </w:r>
    </w:p>
    <w:p>
      <w:pPr>
        <w:pStyle w:val="BodyText"/>
        <w:spacing w:before="5"/>
        <w:rPr>
          <w:sz w:val="20"/>
        </w:rPr>
      </w:pPr>
    </w:p>
    <w:p>
      <w:pPr>
        <w:pStyle w:val="BodyText"/>
        <w:spacing w:line="360" w:lineRule="auto"/>
        <w:ind w:left="1702" w:right="1697"/>
        <w:jc w:val="both"/>
      </w:pPr>
      <w:r>
        <w:rPr/>
        <w:t>Considerando que o </w:t>
      </w:r>
      <w:r>
        <w:rPr>
          <w:i/>
        </w:rPr>
        <w:t>desconhecimento </w:t>
      </w:r>
      <w:r>
        <w:rPr/>
        <w:t>completo dos danos potenciais é um fator determinante na geração de insegurança tanto do empreendedor quanto da sociedade;</w:t>
      </w:r>
    </w:p>
    <w:p>
      <w:pPr>
        <w:pStyle w:val="BodyText"/>
        <w:spacing w:before="10"/>
        <w:rPr>
          <w:sz w:val="20"/>
        </w:rPr>
      </w:pPr>
    </w:p>
    <w:p>
      <w:pPr>
        <w:pStyle w:val="BodyText"/>
        <w:spacing w:line="360" w:lineRule="auto"/>
        <w:ind w:left="1702" w:right="1695"/>
        <w:jc w:val="both"/>
      </w:pPr>
      <w:r>
        <w:rPr/>
        <w:t>Considerando a possibilidade e os </w:t>
      </w:r>
      <w:r>
        <w:rPr>
          <w:i/>
        </w:rPr>
        <w:t>indícios de subdimensionamento </w:t>
      </w:r>
      <w:r>
        <w:rPr/>
        <w:t>nos resultados dos estudos e seus respectivos cenários de inundação, tendo como base o caso da Barragem do Vigia</w:t>
      </w:r>
      <w:r>
        <w:rPr>
          <w:vertAlign w:val="superscript"/>
        </w:rPr>
        <w:t>8</w:t>
      </w:r>
      <w:r>
        <w:rPr>
          <w:vertAlign w:val="baseline"/>
        </w:rPr>
        <w:t>, que apresenta um cenário atual com hipótese de causar dano à menor do que o que se verificou em face do caso concreto, sobretudo se ainda levarmos em conta o fato de que o estudo atual (deve) considera(r) o colapso total da estrutura, e o que se verificou no evento de 2007 foi um “rompimento do vertedouro”, como amplamente noticiado na imprensa e sites oficiais que registraram o</w:t>
      </w:r>
      <w:r>
        <w:rPr>
          <w:spacing w:val="-4"/>
          <w:vertAlign w:val="baseline"/>
        </w:rPr>
        <w:t> </w:t>
      </w:r>
      <w:r>
        <w:rPr>
          <w:vertAlign w:val="baseline"/>
        </w:rPr>
        <w:t>tema:</w:t>
      </w:r>
    </w:p>
    <w:p>
      <w:pPr>
        <w:pStyle w:val="BodyText"/>
        <w:rPr>
          <w:sz w:val="21"/>
        </w:rPr>
      </w:pPr>
    </w:p>
    <w:p>
      <w:pPr>
        <w:spacing w:line="276" w:lineRule="auto" w:before="0"/>
        <w:ind w:left="3118" w:right="1698" w:firstLine="0"/>
        <w:jc w:val="both"/>
        <w:rPr>
          <w:i/>
          <w:sz w:val="24"/>
        </w:rPr>
      </w:pPr>
      <w:r>
        <w:rPr/>
        <w:pict>
          <v:line style="position:absolute;mso-position-horizontal-relative:page;mso-position-vertical-relative:paragraph;z-index:3008;mso-wrap-distance-left:0;mso-wrap-distance-right:0" from="85.103996pt,197.113129pt" to="229.123996pt,197.113129pt" stroked="true" strokeweight=".72003pt" strokecolor="#000000">
            <v:stroke dashstyle="solid"/>
            <w10:wrap type="topAndBottom"/>
          </v:line>
        </w:pict>
      </w:r>
      <w:r>
        <w:rPr>
          <w:sz w:val="24"/>
        </w:rPr>
        <w:t>Jornal Estado de Minas</w:t>
      </w:r>
      <w:r>
        <w:rPr>
          <w:i/>
          <w:sz w:val="24"/>
        </w:rPr>
        <w:t>: “Congonhas e Ouro Preto – A preocupação </w:t>
      </w:r>
      <w:r>
        <w:rPr>
          <w:i/>
          <w:sz w:val="24"/>
        </w:rPr>
        <w:t>com a segurança das barragens do Vigia e Auxiliar do Vigia, da Nacional Mineração (Namisa), entre Congonhas e Ouro Preto, na Região Central de Minas Gerais, é constante desde o vazamento ocorrido em 2008, após fortes chuvas. Em atas do Conselho Municipal de Meio Ambiente (Codema) consta que ocorreu “um rompimento na barragem Auxiliar do Vigia que atingiu o Bairro Santa Mônica”, em Congonhas, bem como comunidades das partes mais baixas e sitiantes do Mota (Ouro Preto), do Pires (Congonhas) e às margens de rios que receberam esse grande volume de água nas suas calhas. De acordo com os dados do monitoramento de estabilidade de barragens da Fundação Estadual</w:t>
      </w:r>
      <w:r>
        <w:rPr>
          <w:i/>
          <w:spacing w:val="47"/>
          <w:sz w:val="24"/>
        </w:rPr>
        <w:t> </w:t>
      </w:r>
      <w:r>
        <w:rPr>
          <w:i/>
          <w:sz w:val="24"/>
        </w:rPr>
        <w:t>de</w:t>
      </w:r>
      <w:r>
        <w:rPr>
          <w:i/>
          <w:spacing w:val="45"/>
          <w:sz w:val="24"/>
        </w:rPr>
        <w:t> </w:t>
      </w:r>
      <w:r>
        <w:rPr>
          <w:i/>
          <w:sz w:val="24"/>
        </w:rPr>
        <w:t>Meio</w:t>
      </w:r>
      <w:r>
        <w:rPr>
          <w:i/>
          <w:spacing w:val="47"/>
          <w:sz w:val="24"/>
        </w:rPr>
        <w:t> </w:t>
      </w:r>
      <w:r>
        <w:rPr>
          <w:i/>
          <w:sz w:val="24"/>
        </w:rPr>
        <w:t>Ambiente</w:t>
      </w:r>
      <w:r>
        <w:rPr>
          <w:i/>
          <w:spacing w:val="48"/>
          <w:sz w:val="24"/>
        </w:rPr>
        <w:t> </w:t>
      </w:r>
      <w:r>
        <w:rPr>
          <w:i/>
          <w:sz w:val="24"/>
        </w:rPr>
        <w:t>(Feam),</w:t>
      </w:r>
      <w:r>
        <w:rPr>
          <w:i/>
          <w:spacing w:val="46"/>
          <w:sz w:val="24"/>
        </w:rPr>
        <w:t> </w:t>
      </w:r>
      <w:r>
        <w:rPr>
          <w:i/>
          <w:sz w:val="24"/>
        </w:rPr>
        <w:t>o</w:t>
      </w:r>
      <w:r>
        <w:rPr>
          <w:i/>
          <w:spacing w:val="47"/>
          <w:sz w:val="24"/>
        </w:rPr>
        <w:t> </w:t>
      </w:r>
      <w:r>
        <w:rPr>
          <w:i/>
          <w:sz w:val="24"/>
        </w:rPr>
        <w:t>barramento</w:t>
      </w:r>
      <w:r>
        <w:rPr>
          <w:i/>
          <w:spacing w:val="47"/>
          <w:sz w:val="24"/>
        </w:rPr>
        <w:t> </w:t>
      </w:r>
      <w:r>
        <w:rPr>
          <w:i/>
          <w:sz w:val="24"/>
        </w:rPr>
        <w:t>principal,</w:t>
      </w:r>
      <w:r>
        <w:rPr>
          <w:i/>
          <w:spacing w:val="46"/>
          <w:sz w:val="24"/>
        </w:rPr>
        <w:t> </w:t>
      </w:r>
      <w:r>
        <w:rPr>
          <w:i/>
          <w:sz w:val="24"/>
        </w:rPr>
        <w:t>que</w:t>
      </w:r>
      <w:r>
        <w:rPr>
          <w:i/>
          <w:spacing w:val="45"/>
          <w:sz w:val="24"/>
        </w:rPr>
        <w:t> </w:t>
      </w:r>
      <w:r>
        <w:rPr>
          <w:i/>
          <w:sz w:val="24"/>
        </w:rPr>
        <w:t>é</w:t>
      </w:r>
      <w:r>
        <w:rPr>
          <w:i/>
          <w:spacing w:val="45"/>
          <w:sz w:val="24"/>
        </w:rPr>
        <w:t> </w:t>
      </w:r>
      <w:r>
        <w:rPr>
          <w:i/>
          <w:sz w:val="24"/>
        </w:rPr>
        <w:t>a</w:t>
      </w:r>
    </w:p>
    <w:p>
      <w:pPr>
        <w:spacing w:line="254" w:lineRule="auto" w:before="41"/>
        <w:ind w:left="1702" w:right="2011" w:firstLine="0"/>
        <w:jc w:val="left"/>
        <w:rPr>
          <w:rFonts w:ascii="Arial"/>
          <w:sz w:val="20"/>
        </w:rPr>
      </w:pPr>
      <w:r>
        <w:rPr>
          <w:rFonts w:ascii="Arial"/>
          <w:w w:val="95"/>
          <w:position w:val="10"/>
          <w:sz w:val="13"/>
        </w:rPr>
        <w:t>8 </w:t>
      </w:r>
      <w:r>
        <w:rPr>
          <w:rFonts w:ascii="Arial"/>
          <w:w w:val="95"/>
          <w:sz w:val="20"/>
        </w:rPr>
        <w:t>https:/</w:t>
      </w:r>
      <w:hyperlink r:id="rId60">
        <w:r>
          <w:rPr>
            <w:rFonts w:ascii="Arial"/>
            <w:w w:val="95"/>
            <w:sz w:val="20"/>
          </w:rPr>
          <w:t>/w</w:t>
        </w:r>
      </w:hyperlink>
      <w:r>
        <w:rPr>
          <w:rFonts w:ascii="Arial"/>
          <w:w w:val="95"/>
          <w:sz w:val="20"/>
        </w:rPr>
        <w:t>w</w:t>
      </w:r>
      <w:hyperlink r:id="rId60">
        <w:r>
          <w:rPr>
            <w:rFonts w:ascii="Arial"/>
            <w:w w:val="95"/>
            <w:sz w:val="20"/>
          </w:rPr>
          <w:t>w.em.com.br/app/noticia/gerais/2017/11/12/interna_gerais,916080/chuva-torna-mais-</w:t>
        </w:r>
      </w:hyperlink>
      <w:r>
        <w:rPr>
          <w:rFonts w:ascii="Arial"/>
          <w:w w:val="95"/>
          <w:sz w:val="20"/>
        </w:rPr>
        <w:t> </w:t>
      </w:r>
      <w:r>
        <w:rPr>
          <w:rFonts w:ascii="Arial"/>
          <w:sz w:val="20"/>
        </w:rPr>
        <w:t>critica-situacao-de-barragens-em-ouro-preto-e-congonh.shtml</w:t>
      </w:r>
    </w:p>
    <w:p>
      <w:pPr>
        <w:pStyle w:val="BodyText"/>
        <w:spacing w:before="2"/>
        <w:rPr>
          <w:rFonts w:ascii="Arial"/>
          <w:sz w:val="25"/>
        </w:rPr>
      </w:pPr>
      <w:r>
        <w:rPr/>
        <w:pict>
          <v:shape style="position:absolute;margin-left:475.660004pt;margin-top:15.721045pt;width:40.450pt;height:55.95pt;mso-position-horizontal-relative:page;mso-position-vertical-relative:paragraph;z-index:3032;mso-wrap-distance-left:0;mso-wrap-distance-right:0" type="#_x0000_t202" filled="true" fillcolor="#6fac46" stroked="false">
            <v:textbox inset="0,0,0,0">
              <w:txbxContent>
                <w:p>
                  <w:pPr>
                    <w:pStyle w:val="BodyText"/>
                    <w:spacing w:before="10"/>
                    <w:rPr>
                      <w:rFonts w:ascii="Arial"/>
                      <w:sz w:val="29"/>
                    </w:rPr>
                  </w:pPr>
                </w:p>
                <w:p>
                  <w:pPr>
                    <w:spacing w:before="0"/>
                    <w:ind w:left="220" w:right="0" w:firstLine="0"/>
                    <w:jc w:val="left"/>
                    <w:rPr>
                      <w:rFonts w:ascii="Arial"/>
                      <w:sz w:val="36"/>
                    </w:rPr>
                  </w:pPr>
                  <w:r>
                    <w:rPr>
                      <w:rFonts w:ascii="Arial"/>
                      <w:color w:val="FFFFFF"/>
                      <w:sz w:val="36"/>
                    </w:rPr>
                    <w:t>40</w:t>
                  </w:r>
                </w:p>
              </w:txbxContent>
            </v:textbox>
            <v:fill type="solid"/>
            <w10:wrap type="topAndBottom"/>
          </v:shape>
        </w:pict>
      </w:r>
    </w:p>
    <w:p>
      <w:pPr>
        <w:spacing w:after="0"/>
        <w:rPr>
          <w:rFonts w:ascii="Arial"/>
          <w:sz w:val="25"/>
        </w:rPr>
        <w:sectPr>
          <w:type w:val="continuous"/>
          <w:pgSz w:w="11910" w:h="16840"/>
          <w:pgMar w:top="0" w:bottom="280" w:left="0" w:right="0"/>
        </w:sectPr>
      </w:pPr>
    </w:p>
    <w:p>
      <w:pPr>
        <w:pStyle w:val="BodyText"/>
        <w:rPr>
          <w:rFonts w:ascii="Arial"/>
          <w:sz w:val="20"/>
        </w:rPr>
      </w:pPr>
    </w:p>
    <w:p>
      <w:pPr>
        <w:pStyle w:val="BodyText"/>
        <w:rPr>
          <w:rFonts w:ascii="Arial"/>
          <w:sz w:val="20"/>
        </w:rPr>
      </w:pPr>
    </w:p>
    <w:p>
      <w:pPr>
        <w:pStyle w:val="BodyText"/>
        <w:spacing w:before="1"/>
        <w:rPr>
          <w:rFonts w:ascii="Arial"/>
          <w:sz w:val="18"/>
        </w:rPr>
      </w:pPr>
    </w:p>
    <w:p>
      <w:pPr>
        <w:spacing w:after="0"/>
        <w:rPr>
          <w:rFonts w:ascii="Arial"/>
          <w:sz w:val="18"/>
        </w:rPr>
        <w:sectPr>
          <w:pgSz w:w="11910" w:h="16840"/>
          <w:pgMar w:top="0" w:bottom="0" w:left="0" w:right="0"/>
        </w:sectPr>
      </w:pPr>
    </w:p>
    <w:p>
      <w:pPr>
        <w:pStyle w:val="Heading1"/>
        <w:spacing w:line="172" w:lineRule="auto"/>
      </w:pPr>
      <w:r>
        <w:rPr/>
        <w:drawing>
          <wp:anchor distT="0" distB="0" distL="0" distR="0" allowOverlap="1" layoutInCell="1" locked="0" behindDoc="0" simplePos="0" relativeHeight="5176">
            <wp:simplePos x="0" y="0"/>
            <wp:positionH relativeFrom="page">
              <wp:posOffset>979932</wp:posOffset>
            </wp:positionH>
            <wp:positionV relativeFrom="paragraph">
              <wp:posOffset>-9589</wp:posOffset>
            </wp:positionV>
            <wp:extent cx="1478280" cy="612648"/>
            <wp:effectExtent l="0" t="0" r="0" b="0"/>
            <wp:wrapNone/>
            <wp:docPr id="191" name="image8.png" descr=""/>
            <wp:cNvGraphicFramePr>
              <a:graphicFrameLocks noChangeAspect="1"/>
            </wp:cNvGraphicFramePr>
            <a:graphic>
              <a:graphicData uri="http://schemas.openxmlformats.org/drawingml/2006/picture">
                <pic:pic>
                  <pic:nvPicPr>
                    <pic:cNvPr id="192" name="image8.png"/>
                    <pic:cNvPicPr/>
                  </pic:nvPicPr>
                  <pic:blipFill>
                    <a:blip r:embed="rId12" cstate="print"/>
                    <a:stretch>
                      <a:fillRect/>
                    </a:stretch>
                  </pic:blipFill>
                  <pic:spPr>
                    <a:xfrm>
                      <a:off x="0" y="0"/>
                      <a:ext cx="1478280" cy="612648"/>
                    </a:xfrm>
                    <a:prstGeom prst="rect">
                      <a:avLst/>
                    </a:prstGeom>
                  </pic:spPr>
                </pic:pic>
              </a:graphicData>
            </a:graphic>
          </wp:anchor>
        </w:drawing>
      </w:r>
      <w:r>
        <w:rPr>
          <w:color w:val="385522"/>
        </w:rPr>
        <w:t>meio </w:t>
      </w:r>
      <w:r>
        <w:rPr>
          <w:color w:val="385522"/>
          <w:w w:val="95"/>
        </w:rPr>
        <w:t>ambiente</w:t>
      </w:r>
    </w:p>
    <w:p>
      <w:pPr>
        <w:spacing w:before="60"/>
        <w:ind w:left="455" w:right="0" w:firstLine="0"/>
        <w:jc w:val="left"/>
        <w:rPr>
          <w:rFonts w:ascii="Arial" w:hAnsi="Arial"/>
          <w:sz w:val="22"/>
        </w:rPr>
      </w:pPr>
      <w:r>
        <w:rPr/>
        <w:br w:type="column"/>
      </w:r>
      <w:r>
        <w:rPr>
          <w:rFonts w:ascii="Arial" w:hAnsi="Arial"/>
          <w:color w:val="385522"/>
          <w:sz w:val="22"/>
        </w:rPr>
        <w:t>Plano Municipal de Segurança de Barragens-PMSB</w:t>
      </w:r>
    </w:p>
    <w:p>
      <w:pPr>
        <w:spacing w:after="0"/>
        <w:jc w:val="left"/>
        <w:rPr>
          <w:rFonts w:ascii="Arial" w:hAnsi="Arial"/>
          <w:sz w:val="22"/>
        </w:rPr>
        <w:sectPr>
          <w:type w:val="continuous"/>
          <w:pgSz w:w="11910" w:h="16840"/>
          <w:pgMar w:top="0" w:bottom="280" w:left="0" w:right="0"/>
          <w:cols w:num="2" w:equalWidth="0">
            <w:col w:w="5155" w:space="77"/>
            <w:col w:w="6678"/>
          </w:cols>
        </w:sectPr>
      </w:pPr>
    </w:p>
    <w:p>
      <w:pPr>
        <w:pStyle w:val="BodyText"/>
        <w:rPr>
          <w:rFonts w:ascii="Arial"/>
          <w:sz w:val="20"/>
        </w:rPr>
      </w:pPr>
      <w:r>
        <w:rPr/>
        <w:drawing>
          <wp:anchor distT="0" distB="0" distL="0" distR="0" allowOverlap="1" layoutInCell="1" locked="0" behindDoc="0" simplePos="0" relativeHeight="5200">
            <wp:simplePos x="0" y="0"/>
            <wp:positionH relativeFrom="page">
              <wp:posOffset>288925</wp:posOffset>
            </wp:positionH>
            <wp:positionV relativeFrom="page">
              <wp:posOffset>634</wp:posOffset>
            </wp:positionV>
            <wp:extent cx="474344" cy="10691748"/>
            <wp:effectExtent l="0" t="0" r="0" b="0"/>
            <wp:wrapNone/>
            <wp:docPr id="193" name="image9.png" descr=""/>
            <wp:cNvGraphicFramePr>
              <a:graphicFrameLocks noChangeAspect="1"/>
            </wp:cNvGraphicFramePr>
            <a:graphic>
              <a:graphicData uri="http://schemas.openxmlformats.org/drawingml/2006/picture">
                <pic:pic>
                  <pic:nvPicPr>
                    <pic:cNvPr id="194" name="image9.png"/>
                    <pic:cNvPicPr/>
                  </pic:nvPicPr>
                  <pic:blipFill>
                    <a:blip r:embed="rId13" cstate="print"/>
                    <a:stretch>
                      <a:fillRect/>
                    </a:stretch>
                  </pic:blipFill>
                  <pic:spPr>
                    <a:xfrm>
                      <a:off x="0" y="0"/>
                      <a:ext cx="474344" cy="10691748"/>
                    </a:xfrm>
                    <a:prstGeom prst="rect">
                      <a:avLst/>
                    </a:prstGeom>
                  </pic:spPr>
                </pic:pic>
              </a:graphicData>
            </a:graphic>
          </wp:anchor>
        </w:drawing>
      </w:r>
    </w:p>
    <w:p>
      <w:pPr>
        <w:pStyle w:val="BodyText"/>
        <w:rPr>
          <w:rFonts w:ascii="Arial"/>
          <w:sz w:val="20"/>
        </w:rPr>
      </w:pPr>
    </w:p>
    <w:p>
      <w:pPr>
        <w:pStyle w:val="BodyText"/>
        <w:spacing w:before="8"/>
        <w:rPr>
          <w:rFonts w:ascii="Arial"/>
          <w:sz w:val="22"/>
        </w:rPr>
      </w:pPr>
    </w:p>
    <w:p>
      <w:pPr>
        <w:spacing w:line="276" w:lineRule="auto" w:before="1"/>
        <w:ind w:left="3118" w:right="1695" w:firstLine="0"/>
        <w:jc w:val="both"/>
        <w:rPr>
          <w:i/>
          <w:sz w:val="24"/>
        </w:rPr>
      </w:pPr>
      <w:r>
        <w:rPr>
          <w:i/>
          <w:sz w:val="24"/>
        </w:rPr>
        <w:t>Barragem do Vigia, tem uma represa com 25 metros de altura, contendo </w:t>
      </w:r>
      <w:r>
        <w:rPr>
          <w:i/>
          <w:sz w:val="24"/>
        </w:rPr>
        <w:t>1,2 milhão de metros cúbicos (m³) de rejeitos, enquanto a Vigia Auxiliar reserva quatro milhões de m³ atrás de seu maciço de 33 metros de altura. A população local também não consegue dormir tranquila, sobretudo nas noites chuvosas, já que a drenagem é um dos fatores mais críticos numa barragem de rejeitos sob forte precipitação.(Postado em 12/11/2017</w:t>
      </w:r>
      <w:r>
        <w:rPr>
          <w:i/>
          <w:spacing w:val="-1"/>
          <w:sz w:val="24"/>
        </w:rPr>
        <w:t> </w:t>
      </w:r>
      <w:r>
        <w:rPr>
          <w:i/>
          <w:sz w:val="24"/>
        </w:rPr>
        <w:t>06:00)</w:t>
      </w:r>
    </w:p>
    <w:p>
      <w:pPr>
        <w:pStyle w:val="BodyText"/>
        <w:spacing w:before="8"/>
        <w:rPr>
          <w:i/>
          <w:sz w:val="20"/>
        </w:rPr>
      </w:pPr>
    </w:p>
    <w:p>
      <w:pPr>
        <w:spacing w:line="276" w:lineRule="auto" w:before="0"/>
        <w:ind w:left="3118" w:right="1698" w:firstLine="0"/>
        <w:jc w:val="both"/>
        <w:rPr>
          <w:i/>
          <w:sz w:val="24"/>
        </w:rPr>
      </w:pPr>
      <w:r>
        <w:rPr>
          <w:sz w:val="24"/>
        </w:rPr>
        <w:t>IBAMA: </w:t>
      </w:r>
      <w:r>
        <w:rPr>
          <w:i/>
          <w:sz w:val="24"/>
        </w:rPr>
        <w:t>“Quando choveu o volume equivalente a todo o mês de março, </w:t>
      </w:r>
      <w:r>
        <w:rPr>
          <w:i/>
          <w:sz w:val="24"/>
        </w:rPr>
        <w:t>a estrutura que liga o vertedouro à represa da Mina Casa de Pedra rompeu. Houve transbordamento do rejeito, o que pode ter provocado o desvio do curso do rio Maranhão e do ribeirão Preto. Estes subiram 5 metros acima do nível normal, atingindo os bairros de Santa Mônica, Jardim Profeta e Vila São Vicente. 40 famílias ficaram desabrigadas. (Congonhas/MG)</w:t>
      </w:r>
      <w:r>
        <w:rPr>
          <w:i/>
          <w:sz w:val="24"/>
          <w:vertAlign w:val="superscript"/>
        </w:rPr>
        <w:t>9</w:t>
      </w:r>
    </w:p>
    <w:p>
      <w:pPr>
        <w:pStyle w:val="BodyText"/>
        <w:spacing w:line="360" w:lineRule="auto" w:before="241"/>
        <w:ind w:left="1702" w:right="1697"/>
        <w:jc w:val="both"/>
      </w:pPr>
      <w:r>
        <w:rPr/>
        <w:t>Considerando que </w:t>
      </w:r>
      <w:r>
        <w:rPr>
          <w:i/>
        </w:rPr>
        <w:t>“a falta de cultura de prevenção</w:t>
      </w:r>
      <w:r>
        <w:rPr/>
        <w:t>” é um dos grandes desafios a ser superado, agravado, sobretudo, pela alta desconfiança de nossa sociedade e pela falta de políticas públicas claras e acessíveis sobre o assunto;</w:t>
      </w:r>
    </w:p>
    <w:p>
      <w:pPr>
        <w:pStyle w:val="BodyText"/>
        <w:spacing w:before="9"/>
        <w:rPr>
          <w:sz w:val="20"/>
        </w:rPr>
      </w:pPr>
    </w:p>
    <w:p>
      <w:pPr>
        <w:spacing w:line="360" w:lineRule="auto" w:before="0"/>
        <w:ind w:left="1702" w:right="1694" w:firstLine="0"/>
        <w:jc w:val="both"/>
        <w:rPr>
          <w:sz w:val="24"/>
        </w:rPr>
      </w:pPr>
      <w:r>
        <w:rPr>
          <w:sz w:val="24"/>
        </w:rPr>
        <w:t>Considerando o § 1º do art. 41 da lei 10.257/2001, Estatuto da Cidade, que define a </w:t>
      </w:r>
      <w:r>
        <w:rPr>
          <w:i/>
          <w:sz w:val="24"/>
        </w:rPr>
        <w:t>obrigatoriedade dos Planos Diretores e as responsabilidades dos recursos técnicos e </w:t>
      </w:r>
      <w:r>
        <w:rPr>
          <w:i/>
          <w:sz w:val="24"/>
        </w:rPr>
        <w:t>financeiros para a elaboração (ou revisão) nos casos da realização de empreendimentos ou atividades </w:t>
      </w:r>
      <w:r>
        <w:rPr>
          <w:sz w:val="24"/>
        </w:rPr>
        <w:t>enquadrados no inciso V do caput, ou seja, inseridos na área de influência de empreendimentos ou atividades com significativo impacto ambiental;</w:t>
      </w:r>
    </w:p>
    <w:p>
      <w:pPr>
        <w:pStyle w:val="BodyText"/>
        <w:spacing w:before="11"/>
        <w:rPr>
          <w:sz w:val="20"/>
        </w:rPr>
      </w:pPr>
    </w:p>
    <w:p>
      <w:pPr>
        <w:spacing w:line="360" w:lineRule="auto" w:before="0"/>
        <w:ind w:left="1702" w:right="1697" w:firstLine="0"/>
        <w:jc w:val="both"/>
        <w:rPr>
          <w:sz w:val="24"/>
        </w:rPr>
      </w:pPr>
      <w:r>
        <w:rPr>
          <w:sz w:val="24"/>
        </w:rPr>
        <w:t>Considerando que o </w:t>
      </w:r>
      <w:r>
        <w:rPr>
          <w:i/>
          <w:sz w:val="24"/>
        </w:rPr>
        <w:t>meio ambiente ecologicamente equilibrado (art. 225 da Carta </w:t>
      </w:r>
      <w:r>
        <w:rPr>
          <w:i/>
          <w:sz w:val="24"/>
        </w:rPr>
        <w:t>Maior)</w:t>
      </w:r>
      <w:r>
        <w:rPr>
          <w:sz w:val="24"/>
        </w:rPr>
        <w:t>, é competência comum da União, dos Estados, do Distrito Federal e dos Municípios</w:t>
      </w:r>
      <w:r>
        <w:rPr>
          <w:sz w:val="24"/>
          <w:vertAlign w:val="superscript"/>
        </w:rPr>
        <w:t>10</w:t>
      </w:r>
      <w:r>
        <w:rPr>
          <w:sz w:val="24"/>
          <w:vertAlign w:val="baseline"/>
        </w:rPr>
        <w:t>;</w:t>
      </w:r>
    </w:p>
    <w:p>
      <w:pPr>
        <w:pStyle w:val="BodyText"/>
        <w:spacing w:before="6"/>
      </w:pPr>
    </w:p>
    <w:p>
      <w:pPr>
        <w:pStyle w:val="BodyText"/>
        <w:spacing w:line="360" w:lineRule="auto"/>
        <w:ind w:left="1702" w:right="1697"/>
        <w:jc w:val="both"/>
        <w:rPr>
          <w:i/>
        </w:rPr>
      </w:pPr>
      <w:r>
        <w:rPr/>
        <w:t>Considerando o art. 23 da mesma Carta, que confere a competência comum à União, Estados, Distrito Federal e Municípios, dentre outras sobre: </w:t>
      </w:r>
      <w:r>
        <w:rPr>
          <w:i/>
        </w:rPr>
        <w:t>a) zelar pela guarda da</w:t>
      </w:r>
    </w:p>
    <w:p>
      <w:pPr>
        <w:pStyle w:val="BodyText"/>
        <w:spacing w:before="5"/>
        <w:rPr>
          <w:i/>
        </w:rPr>
      </w:pPr>
      <w:r>
        <w:rPr/>
        <w:pict>
          <v:line style="position:absolute;mso-position-horizontal-relative:page;mso-position-vertical-relative:paragraph;z-index:3080;mso-wrap-distance-left:0;mso-wrap-distance-right:0" from="85.103996pt,16.411421pt" to="229.123996pt,16.411421pt" stroked="true" strokeweight=".71997pt" strokecolor="#000000">
            <v:stroke dashstyle="solid"/>
            <w10:wrap type="topAndBottom"/>
          </v:line>
        </w:pict>
      </w:r>
    </w:p>
    <w:p>
      <w:pPr>
        <w:spacing w:before="41"/>
        <w:ind w:left="1702" w:right="0" w:firstLine="0"/>
        <w:jc w:val="left"/>
        <w:rPr>
          <w:rFonts w:ascii="Arial"/>
          <w:sz w:val="20"/>
        </w:rPr>
      </w:pPr>
      <w:r>
        <w:rPr>
          <w:rFonts w:ascii="Arial"/>
          <w:position w:val="10"/>
          <w:sz w:val="13"/>
        </w:rPr>
        <w:t>9 </w:t>
      </w:r>
      <w:hyperlink r:id="rId61">
        <w:r>
          <w:rPr>
            <w:rFonts w:ascii="Arial"/>
            <w:sz w:val="20"/>
          </w:rPr>
          <w:t>http://www.ibama.gov.br/acidentes-ambientais-marco-2008/rompimento-de-barragem-em-funcao</w:t>
        </w:r>
      </w:hyperlink>
    </w:p>
    <w:p>
      <w:pPr>
        <w:spacing w:line="252" w:lineRule="auto" w:before="15"/>
        <w:ind w:left="1702" w:right="1720" w:firstLine="0"/>
        <w:jc w:val="both"/>
        <w:rPr>
          <w:rFonts w:ascii="Arial" w:hAnsi="Arial"/>
          <w:sz w:val="20"/>
        </w:rPr>
      </w:pPr>
      <w:r>
        <w:rPr>
          <w:rFonts w:ascii="Arial" w:hAnsi="Arial"/>
          <w:w w:val="95"/>
          <w:sz w:val="20"/>
        </w:rPr>
        <w:t>de-forte-temporal-contagem/MG, e citado no </w:t>
      </w:r>
      <w:hyperlink r:id="rId62">
        <w:r>
          <w:rPr>
            <w:rFonts w:ascii="Arial" w:hAnsi="Arial"/>
            <w:w w:val="95"/>
            <w:sz w:val="20"/>
          </w:rPr>
          <w:t>http://www.mpf.mp.br/atuacao-tematica/ccr4/dados-da-</w:t>
        </w:r>
      </w:hyperlink>
      <w:r>
        <w:rPr>
          <w:rFonts w:ascii="Arial" w:hAnsi="Arial"/>
          <w:w w:val="95"/>
          <w:sz w:val="20"/>
        </w:rPr>
        <w:t> atuacao/eventos/Seminarios/Zani1ACPBarragens.pdf (acessado o ultimo em 17/09/2018 – 10:18hs)</w:t>
      </w:r>
    </w:p>
    <w:p>
      <w:pPr>
        <w:spacing w:line="234" w:lineRule="exact" w:before="0"/>
        <w:ind w:left="1702" w:right="0" w:firstLine="0"/>
        <w:jc w:val="both"/>
        <w:rPr>
          <w:rFonts w:ascii="Arial" w:hAnsi="Arial"/>
          <w:sz w:val="20"/>
        </w:rPr>
      </w:pPr>
      <w:r>
        <w:rPr>
          <w:rFonts w:ascii="Arial" w:hAnsi="Arial"/>
          <w:position w:val="10"/>
          <w:sz w:val="13"/>
        </w:rPr>
        <w:t>10 </w:t>
      </w:r>
      <w:r>
        <w:rPr>
          <w:rFonts w:ascii="Arial" w:hAnsi="Arial"/>
          <w:sz w:val="20"/>
        </w:rPr>
        <w:t>Preconizado pelo art. 23, VI e VII, da CRFB⁄88</w:t>
      </w:r>
    </w:p>
    <w:p>
      <w:pPr>
        <w:pStyle w:val="BodyText"/>
        <w:rPr>
          <w:rFonts w:ascii="Arial"/>
          <w:sz w:val="20"/>
        </w:rPr>
      </w:pPr>
    </w:p>
    <w:p>
      <w:pPr>
        <w:pStyle w:val="BodyText"/>
        <w:spacing w:before="7"/>
        <w:rPr>
          <w:rFonts w:ascii="Arial"/>
          <w:sz w:val="27"/>
        </w:rPr>
      </w:pPr>
      <w:r>
        <w:rPr/>
        <w:pict>
          <v:shape style="position:absolute;margin-left:475.660004pt;margin-top:17.095879pt;width:40.450pt;height:55.95pt;mso-position-horizontal-relative:page;mso-position-vertical-relative:paragraph;z-index:3104;mso-wrap-distance-left:0;mso-wrap-distance-right:0" type="#_x0000_t202" filled="true" fillcolor="#6fac46" stroked="false">
            <v:textbox inset="0,0,0,0">
              <w:txbxContent>
                <w:p>
                  <w:pPr>
                    <w:pStyle w:val="BodyText"/>
                    <w:spacing w:before="10"/>
                    <w:rPr>
                      <w:rFonts w:ascii="Arial"/>
                      <w:sz w:val="29"/>
                    </w:rPr>
                  </w:pPr>
                </w:p>
                <w:p>
                  <w:pPr>
                    <w:spacing w:before="0"/>
                    <w:ind w:left="220" w:right="0" w:firstLine="0"/>
                    <w:jc w:val="left"/>
                    <w:rPr>
                      <w:rFonts w:ascii="Arial"/>
                      <w:sz w:val="36"/>
                    </w:rPr>
                  </w:pPr>
                  <w:r>
                    <w:rPr>
                      <w:rFonts w:ascii="Arial"/>
                      <w:color w:val="FFFFFF"/>
                      <w:sz w:val="36"/>
                    </w:rPr>
                    <w:t>41</w:t>
                  </w:r>
                </w:p>
              </w:txbxContent>
            </v:textbox>
            <v:fill type="solid"/>
            <w10:wrap type="topAndBottom"/>
          </v:shape>
        </w:pict>
      </w:r>
    </w:p>
    <w:p>
      <w:pPr>
        <w:spacing w:after="0"/>
        <w:rPr>
          <w:rFonts w:ascii="Arial"/>
          <w:sz w:val="27"/>
        </w:rPr>
        <w:sectPr>
          <w:type w:val="continuous"/>
          <w:pgSz w:w="11910" w:h="16840"/>
          <w:pgMar w:top="0" w:bottom="280" w:left="0" w:right="0"/>
        </w:sectPr>
      </w:pPr>
    </w:p>
    <w:p>
      <w:pPr>
        <w:pStyle w:val="BodyText"/>
        <w:rPr>
          <w:rFonts w:ascii="Arial"/>
          <w:sz w:val="20"/>
        </w:rPr>
      </w:pPr>
    </w:p>
    <w:p>
      <w:pPr>
        <w:pStyle w:val="BodyText"/>
        <w:rPr>
          <w:rFonts w:ascii="Arial"/>
          <w:sz w:val="20"/>
        </w:rPr>
      </w:pPr>
    </w:p>
    <w:p>
      <w:pPr>
        <w:pStyle w:val="BodyText"/>
        <w:spacing w:before="1"/>
        <w:rPr>
          <w:rFonts w:ascii="Arial"/>
          <w:sz w:val="18"/>
        </w:rPr>
      </w:pPr>
    </w:p>
    <w:p>
      <w:pPr>
        <w:spacing w:after="0"/>
        <w:rPr>
          <w:rFonts w:ascii="Arial"/>
          <w:sz w:val="18"/>
        </w:rPr>
        <w:sectPr>
          <w:pgSz w:w="11910" w:h="16840"/>
          <w:pgMar w:top="0" w:bottom="0" w:left="0" w:right="0"/>
        </w:sectPr>
      </w:pPr>
    </w:p>
    <w:p>
      <w:pPr>
        <w:pStyle w:val="Heading1"/>
        <w:spacing w:line="172" w:lineRule="auto"/>
      </w:pPr>
      <w:r>
        <w:rPr/>
        <w:drawing>
          <wp:anchor distT="0" distB="0" distL="0" distR="0" allowOverlap="1" layoutInCell="1" locked="0" behindDoc="0" simplePos="0" relativeHeight="5248">
            <wp:simplePos x="0" y="0"/>
            <wp:positionH relativeFrom="page">
              <wp:posOffset>979932</wp:posOffset>
            </wp:positionH>
            <wp:positionV relativeFrom="paragraph">
              <wp:posOffset>-9589</wp:posOffset>
            </wp:positionV>
            <wp:extent cx="1478280" cy="612648"/>
            <wp:effectExtent l="0" t="0" r="0" b="0"/>
            <wp:wrapNone/>
            <wp:docPr id="195" name="image8.png" descr=""/>
            <wp:cNvGraphicFramePr>
              <a:graphicFrameLocks noChangeAspect="1"/>
            </wp:cNvGraphicFramePr>
            <a:graphic>
              <a:graphicData uri="http://schemas.openxmlformats.org/drawingml/2006/picture">
                <pic:pic>
                  <pic:nvPicPr>
                    <pic:cNvPr id="196" name="image8.png"/>
                    <pic:cNvPicPr/>
                  </pic:nvPicPr>
                  <pic:blipFill>
                    <a:blip r:embed="rId12" cstate="print"/>
                    <a:stretch>
                      <a:fillRect/>
                    </a:stretch>
                  </pic:blipFill>
                  <pic:spPr>
                    <a:xfrm>
                      <a:off x="0" y="0"/>
                      <a:ext cx="1478280" cy="612648"/>
                    </a:xfrm>
                    <a:prstGeom prst="rect">
                      <a:avLst/>
                    </a:prstGeom>
                  </pic:spPr>
                </pic:pic>
              </a:graphicData>
            </a:graphic>
          </wp:anchor>
        </w:drawing>
      </w:r>
      <w:r>
        <w:rPr>
          <w:color w:val="385522"/>
        </w:rPr>
        <w:t>meio </w:t>
      </w:r>
      <w:r>
        <w:rPr>
          <w:color w:val="385522"/>
          <w:w w:val="95"/>
        </w:rPr>
        <w:t>ambiente</w:t>
      </w:r>
    </w:p>
    <w:p>
      <w:pPr>
        <w:spacing w:before="60"/>
        <w:ind w:left="455" w:right="0" w:firstLine="0"/>
        <w:jc w:val="left"/>
        <w:rPr>
          <w:rFonts w:ascii="Arial" w:hAnsi="Arial"/>
          <w:sz w:val="22"/>
        </w:rPr>
      </w:pPr>
      <w:r>
        <w:rPr/>
        <w:br w:type="column"/>
      </w:r>
      <w:r>
        <w:rPr>
          <w:rFonts w:ascii="Arial" w:hAnsi="Arial"/>
          <w:color w:val="385522"/>
          <w:sz w:val="22"/>
        </w:rPr>
        <w:t>Plano Municipal de Segurança de Barragens-PMSB</w:t>
      </w:r>
    </w:p>
    <w:p>
      <w:pPr>
        <w:spacing w:after="0"/>
        <w:jc w:val="left"/>
        <w:rPr>
          <w:rFonts w:ascii="Arial" w:hAnsi="Arial"/>
          <w:sz w:val="22"/>
        </w:rPr>
        <w:sectPr>
          <w:type w:val="continuous"/>
          <w:pgSz w:w="11910" w:h="16840"/>
          <w:pgMar w:top="0" w:bottom="280" w:left="0" w:right="0"/>
          <w:cols w:num="2" w:equalWidth="0">
            <w:col w:w="5155" w:space="77"/>
            <w:col w:w="6678"/>
          </w:cols>
        </w:sectPr>
      </w:pPr>
    </w:p>
    <w:p>
      <w:pPr>
        <w:pStyle w:val="BodyText"/>
        <w:rPr>
          <w:rFonts w:ascii="Arial"/>
          <w:sz w:val="20"/>
        </w:rPr>
      </w:pPr>
      <w:r>
        <w:rPr/>
        <w:drawing>
          <wp:anchor distT="0" distB="0" distL="0" distR="0" allowOverlap="1" layoutInCell="1" locked="0" behindDoc="0" simplePos="0" relativeHeight="5272">
            <wp:simplePos x="0" y="0"/>
            <wp:positionH relativeFrom="page">
              <wp:posOffset>288925</wp:posOffset>
            </wp:positionH>
            <wp:positionV relativeFrom="page">
              <wp:posOffset>634</wp:posOffset>
            </wp:positionV>
            <wp:extent cx="474344" cy="10691748"/>
            <wp:effectExtent l="0" t="0" r="0" b="0"/>
            <wp:wrapNone/>
            <wp:docPr id="197" name="image9.png" descr=""/>
            <wp:cNvGraphicFramePr>
              <a:graphicFrameLocks noChangeAspect="1"/>
            </wp:cNvGraphicFramePr>
            <a:graphic>
              <a:graphicData uri="http://schemas.openxmlformats.org/drawingml/2006/picture">
                <pic:pic>
                  <pic:nvPicPr>
                    <pic:cNvPr id="198" name="image9.png"/>
                    <pic:cNvPicPr/>
                  </pic:nvPicPr>
                  <pic:blipFill>
                    <a:blip r:embed="rId13" cstate="print"/>
                    <a:stretch>
                      <a:fillRect/>
                    </a:stretch>
                  </pic:blipFill>
                  <pic:spPr>
                    <a:xfrm>
                      <a:off x="0" y="0"/>
                      <a:ext cx="474344" cy="10691748"/>
                    </a:xfrm>
                    <a:prstGeom prst="rect">
                      <a:avLst/>
                    </a:prstGeom>
                  </pic:spPr>
                </pic:pic>
              </a:graphicData>
            </a:graphic>
          </wp:anchor>
        </w:drawing>
      </w:r>
    </w:p>
    <w:p>
      <w:pPr>
        <w:pStyle w:val="BodyText"/>
        <w:rPr>
          <w:rFonts w:ascii="Arial"/>
          <w:sz w:val="20"/>
        </w:rPr>
      </w:pPr>
    </w:p>
    <w:p>
      <w:pPr>
        <w:pStyle w:val="BodyText"/>
        <w:spacing w:before="8"/>
        <w:rPr>
          <w:rFonts w:ascii="Arial"/>
          <w:sz w:val="22"/>
        </w:rPr>
      </w:pPr>
    </w:p>
    <w:p>
      <w:pPr>
        <w:spacing w:before="1"/>
        <w:ind w:left="1702" w:right="0" w:firstLine="0"/>
        <w:jc w:val="both"/>
        <w:rPr>
          <w:i/>
          <w:sz w:val="24"/>
        </w:rPr>
      </w:pPr>
      <w:r>
        <w:rPr>
          <w:i/>
          <w:sz w:val="24"/>
        </w:rPr>
        <w:t>Constituição, das leis e das instituições democráticas e conservar o patrimônio público;</w:t>
      </w:r>
    </w:p>
    <w:p>
      <w:pPr>
        <w:spacing w:line="360" w:lineRule="auto" w:before="136"/>
        <w:ind w:left="1702" w:right="1699" w:firstLine="0"/>
        <w:jc w:val="both"/>
        <w:rPr>
          <w:i/>
          <w:sz w:val="24"/>
        </w:rPr>
      </w:pPr>
      <w:r>
        <w:rPr>
          <w:i/>
          <w:sz w:val="24"/>
        </w:rPr>
        <w:t>b) proteger os documentos, as obras e outros bens de valor histórico, artístico e </w:t>
      </w:r>
      <w:r>
        <w:rPr>
          <w:i/>
          <w:sz w:val="24"/>
        </w:rPr>
        <w:t>cultural, os monumentos, as paisagens naturais notáveis e os sítios arqueológicos; c) impedir a evasão, a destruição e a descaracterização de obras de arte e de outros bens de valor histórico, artístico ou cultural; d) proteger o meio ambiente e combater a poluição em qualquer de suas formas; e) preservar as florestas, a fauna e a flora; f) registrar, acompanhar e fiscalizar as concessões de direitos de pesquisa e exploração de recursos hídricos e minerais em seus</w:t>
      </w:r>
      <w:r>
        <w:rPr>
          <w:i/>
          <w:spacing w:val="-2"/>
          <w:sz w:val="24"/>
        </w:rPr>
        <w:t> </w:t>
      </w:r>
      <w:r>
        <w:rPr>
          <w:i/>
          <w:sz w:val="24"/>
        </w:rPr>
        <w:t>territórios.</w:t>
      </w:r>
    </w:p>
    <w:p>
      <w:pPr>
        <w:pStyle w:val="BodyText"/>
        <w:spacing w:before="5"/>
        <w:rPr>
          <w:i/>
        </w:rPr>
      </w:pPr>
    </w:p>
    <w:p>
      <w:pPr>
        <w:pStyle w:val="BodyText"/>
        <w:spacing w:line="360" w:lineRule="auto"/>
        <w:ind w:left="1702" w:right="1697"/>
        <w:jc w:val="both"/>
      </w:pPr>
      <w:r>
        <w:rPr/>
        <w:t>Considerando, pois, o entendimento incontroverso de que, mesmo sendo determinada atribuição licenciatória ou de outorga, submetida à análise e deferimento de um determinado ente estadual ou federal, como nos casos da barragens, tal atribuição não exclui a competência comum do município, não obstando neste sentido seu dever poder de polícia, conforme determina a própria norma constitucional, que apresenta como traço marcante a atuação conjunta dos entes federativos sobre determinada matéria de relevante interesse, sendo que em princípio não há que se falar em superposição de atribuições por se tratarem de esferas distintas e autônomas de</w:t>
      </w:r>
      <w:r>
        <w:rPr>
          <w:spacing w:val="-5"/>
        </w:rPr>
        <w:t> </w:t>
      </w:r>
      <w:r>
        <w:rPr/>
        <w:t>atuação;</w:t>
      </w:r>
    </w:p>
    <w:p>
      <w:pPr>
        <w:pStyle w:val="BodyText"/>
        <w:spacing w:before="10"/>
        <w:rPr>
          <w:sz w:val="20"/>
        </w:rPr>
      </w:pPr>
    </w:p>
    <w:p>
      <w:pPr>
        <w:spacing w:line="360" w:lineRule="auto" w:before="0"/>
        <w:ind w:left="1702" w:right="1695" w:firstLine="0"/>
        <w:jc w:val="both"/>
        <w:rPr>
          <w:sz w:val="24"/>
        </w:rPr>
      </w:pPr>
      <w:r>
        <w:rPr>
          <w:sz w:val="24"/>
        </w:rPr>
        <w:t>Considerando o alerta jurisprudencial da Suprema Corte do Brasil, na inteligência de que </w:t>
      </w:r>
      <w:r>
        <w:rPr>
          <w:i/>
          <w:sz w:val="24"/>
        </w:rPr>
        <w:t>“a incolumidade do meio ambiente não pode ser comprometida por interesses </w:t>
      </w:r>
      <w:r>
        <w:rPr>
          <w:i/>
          <w:sz w:val="24"/>
        </w:rPr>
        <w:t>empresariais nem ficar dependente de motivações de índole meramente econômica, ainda mais se tiver presente que a atividade econômica, considerada a disciplina constitucional que a rege, está subordinada, dentre outros princípios gerais, àquele que privilegia a “defesa do meio ambiente” (CF, art. 170, VI), que traduz conceito amplo e abrangente das noções de meio ambiente natural, de meio ambiente cultural, de meio ambiente artificial (espaço urbano) e de meio ambiente laboral. </w:t>
      </w:r>
      <w:r>
        <w:rPr>
          <w:sz w:val="24"/>
        </w:rPr>
        <w:t>(ADI-MC nº</w:t>
      </w:r>
      <w:r>
        <w:rPr>
          <w:spacing w:val="22"/>
          <w:sz w:val="24"/>
        </w:rPr>
        <w:t> </w:t>
      </w:r>
      <w:r>
        <w:rPr>
          <w:sz w:val="24"/>
        </w:rPr>
        <w:t>3540/DF</w:t>
      </w:r>
    </w:p>
    <w:p>
      <w:pPr>
        <w:pStyle w:val="BodyText"/>
        <w:spacing w:before="1"/>
        <w:ind w:left="1702"/>
        <w:jc w:val="both"/>
      </w:pPr>
      <w:r>
        <w:rPr/>
        <w:t>– Rel. Min. Celso de Mello – DJU de 03/02/2006)”;</w:t>
      </w:r>
    </w:p>
    <w:p>
      <w:pPr>
        <w:pStyle w:val="BodyText"/>
        <w:spacing w:before="9"/>
        <w:rPr>
          <w:sz w:val="32"/>
        </w:rPr>
      </w:pPr>
    </w:p>
    <w:p>
      <w:pPr>
        <w:pStyle w:val="BodyText"/>
        <w:spacing w:line="360" w:lineRule="auto"/>
        <w:ind w:left="1702" w:right="1699"/>
        <w:jc w:val="both"/>
      </w:pPr>
      <w:r>
        <w:rPr/>
        <w:t>Considerando, dentre outros, o </w:t>
      </w:r>
      <w:r>
        <w:rPr>
          <w:i/>
        </w:rPr>
        <w:t>princípios da precaução</w:t>
      </w:r>
      <w:r>
        <w:rPr/>
        <w:t>, que prioriza a exigência de posturas diligentes do poder de polícia ambiental em defesa do meio ambiente sadio e do desenvolvimento sustentável, consubstanciado na prudência e na cautela, de modo a evitar possível risco de dano, ou risco</w:t>
      </w:r>
      <w:r>
        <w:rPr>
          <w:spacing w:val="-3"/>
        </w:rPr>
        <w:t> </w:t>
      </w:r>
      <w:r>
        <w:rPr/>
        <w:t>potencial.</w:t>
      </w:r>
    </w:p>
    <w:p>
      <w:pPr>
        <w:pStyle w:val="BodyText"/>
        <w:rPr>
          <w:sz w:val="20"/>
        </w:rPr>
      </w:pPr>
    </w:p>
    <w:p>
      <w:pPr>
        <w:pStyle w:val="BodyText"/>
        <w:rPr>
          <w:sz w:val="20"/>
        </w:rPr>
      </w:pPr>
    </w:p>
    <w:p>
      <w:pPr>
        <w:pStyle w:val="BodyText"/>
        <w:spacing w:before="10"/>
        <w:rPr>
          <w:sz w:val="17"/>
        </w:rPr>
      </w:pPr>
      <w:r>
        <w:rPr/>
        <w:pict>
          <v:shape style="position:absolute;margin-left:475.660004pt;margin-top:11.515297pt;width:40.450pt;height:55.95pt;mso-position-horizontal-relative:page;mso-position-vertical-relative:paragraph;z-index:3176;mso-wrap-distance-left:0;mso-wrap-distance-right:0" type="#_x0000_t202" filled="true" fillcolor="#6fac46" stroked="false">
            <v:textbox inset="0,0,0,0">
              <w:txbxContent>
                <w:p>
                  <w:pPr>
                    <w:pStyle w:val="BodyText"/>
                    <w:spacing w:before="10"/>
                    <w:rPr>
                      <w:sz w:val="29"/>
                    </w:rPr>
                  </w:pPr>
                </w:p>
                <w:p>
                  <w:pPr>
                    <w:spacing w:before="0"/>
                    <w:ind w:left="220" w:right="0" w:firstLine="0"/>
                    <w:jc w:val="left"/>
                    <w:rPr>
                      <w:rFonts w:ascii="Arial"/>
                      <w:sz w:val="36"/>
                    </w:rPr>
                  </w:pPr>
                  <w:r>
                    <w:rPr>
                      <w:rFonts w:ascii="Arial"/>
                      <w:color w:val="FFFFFF"/>
                      <w:sz w:val="36"/>
                    </w:rPr>
                    <w:t>42</w:t>
                  </w:r>
                </w:p>
              </w:txbxContent>
            </v:textbox>
            <v:fill type="solid"/>
            <w10:wrap type="topAndBottom"/>
          </v:shape>
        </w:pict>
      </w:r>
    </w:p>
    <w:p>
      <w:pPr>
        <w:spacing w:after="0"/>
        <w:rPr>
          <w:sz w:val="17"/>
        </w:rPr>
        <w:sectPr>
          <w:type w:val="continuous"/>
          <w:pgSz w:w="11910" w:h="16840"/>
          <w:pgMar w:top="0" w:bottom="280" w:left="0" w:right="0"/>
        </w:sectPr>
      </w:pPr>
    </w:p>
    <w:p>
      <w:pPr>
        <w:pStyle w:val="BodyText"/>
        <w:rPr>
          <w:sz w:val="20"/>
        </w:rPr>
      </w:pPr>
    </w:p>
    <w:p>
      <w:pPr>
        <w:pStyle w:val="BodyText"/>
        <w:rPr>
          <w:sz w:val="20"/>
        </w:rPr>
      </w:pPr>
    </w:p>
    <w:p>
      <w:pPr>
        <w:pStyle w:val="BodyText"/>
        <w:spacing w:before="1"/>
        <w:rPr>
          <w:sz w:val="18"/>
        </w:rPr>
      </w:pPr>
    </w:p>
    <w:p>
      <w:pPr>
        <w:spacing w:after="0"/>
        <w:rPr>
          <w:sz w:val="18"/>
        </w:rPr>
        <w:sectPr>
          <w:pgSz w:w="11910" w:h="16840"/>
          <w:pgMar w:top="0" w:bottom="0" w:left="0" w:right="0"/>
        </w:sectPr>
      </w:pPr>
    </w:p>
    <w:p>
      <w:pPr>
        <w:pStyle w:val="Heading1"/>
        <w:spacing w:line="172" w:lineRule="auto"/>
      </w:pPr>
      <w:r>
        <w:rPr/>
        <w:drawing>
          <wp:anchor distT="0" distB="0" distL="0" distR="0" allowOverlap="1" layoutInCell="1" locked="0" behindDoc="0" simplePos="0" relativeHeight="5320">
            <wp:simplePos x="0" y="0"/>
            <wp:positionH relativeFrom="page">
              <wp:posOffset>979932</wp:posOffset>
            </wp:positionH>
            <wp:positionV relativeFrom="paragraph">
              <wp:posOffset>-9589</wp:posOffset>
            </wp:positionV>
            <wp:extent cx="1478280" cy="612648"/>
            <wp:effectExtent l="0" t="0" r="0" b="0"/>
            <wp:wrapNone/>
            <wp:docPr id="199" name="image8.png" descr=""/>
            <wp:cNvGraphicFramePr>
              <a:graphicFrameLocks noChangeAspect="1"/>
            </wp:cNvGraphicFramePr>
            <a:graphic>
              <a:graphicData uri="http://schemas.openxmlformats.org/drawingml/2006/picture">
                <pic:pic>
                  <pic:nvPicPr>
                    <pic:cNvPr id="200" name="image8.png"/>
                    <pic:cNvPicPr/>
                  </pic:nvPicPr>
                  <pic:blipFill>
                    <a:blip r:embed="rId12" cstate="print"/>
                    <a:stretch>
                      <a:fillRect/>
                    </a:stretch>
                  </pic:blipFill>
                  <pic:spPr>
                    <a:xfrm>
                      <a:off x="0" y="0"/>
                      <a:ext cx="1478280" cy="612648"/>
                    </a:xfrm>
                    <a:prstGeom prst="rect">
                      <a:avLst/>
                    </a:prstGeom>
                  </pic:spPr>
                </pic:pic>
              </a:graphicData>
            </a:graphic>
          </wp:anchor>
        </w:drawing>
      </w:r>
      <w:r>
        <w:rPr>
          <w:color w:val="385522"/>
        </w:rPr>
        <w:t>meio </w:t>
      </w:r>
      <w:r>
        <w:rPr>
          <w:color w:val="385522"/>
          <w:w w:val="95"/>
        </w:rPr>
        <w:t>ambiente</w:t>
      </w:r>
    </w:p>
    <w:p>
      <w:pPr>
        <w:spacing w:before="60"/>
        <w:ind w:left="455" w:right="0" w:firstLine="0"/>
        <w:jc w:val="left"/>
        <w:rPr>
          <w:rFonts w:ascii="Arial" w:hAnsi="Arial"/>
          <w:sz w:val="22"/>
        </w:rPr>
      </w:pPr>
      <w:r>
        <w:rPr/>
        <w:br w:type="column"/>
      </w:r>
      <w:r>
        <w:rPr>
          <w:rFonts w:ascii="Arial" w:hAnsi="Arial"/>
          <w:color w:val="385522"/>
          <w:sz w:val="22"/>
        </w:rPr>
        <w:t>Plano Municipal de Segurança de Barragens-PMSB</w:t>
      </w:r>
    </w:p>
    <w:p>
      <w:pPr>
        <w:spacing w:after="0"/>
        <w:jc w:val="left"/>
        <w:rPr>
          <w:rFonts w:ascii="Arial" w:hAnsi="Arial"/>
          <w:sz w:val="22"/>
        </w:rPr>
        <w:sectPr>
          <w:type w:val="continuous"/>
          <w:pgSz w:w="11910" w:h="16840"/>
          <w:pgMar w:top="0" w:bottom="280" w:left="0" w:right="0"/>
          <w:cols w:num="2" w:equalWidth="0">
            <w:col w:w="5155" w:space="77"/>
            <w:col w:w="6678"/>
          </w:cols>
        </w:sectPr>
      </w:pPr>
    </w:p>
    <w:p>
      <w:pPr>
        <w:pStyle w:val="BodyText"/>
        <w:rPr>
          <w:rFonts w:ascii="Arial"/>
          <w:sz w:val="20"/>
        </w:rPr>
      </w:pPr>
      <w:r>
        <w:rPr/>
        <w:drawing>
          <wp:anchor distT="0" distB="0" distL="0" distR="0" allowOverlap="1" layoutInCell="1" locked="0" behindDoc="0" simplePos="0" relativeHeight="5344">
            <wp:simplePos x="0" y="0"/>
            <wp:positionH relativeFrom="page">
              <wp:posOffset>288925</wp:posOffset>
            </wp:positionH>
            <wp:positionV relativeFrom="page">
              <wp:posOffset>634</wp:posOffset>
            </wp:positionV>
            <wp:extent cx="474344" cy="10691748"/>
            <wp:effectExtent l="0" t="0" r="0" b="0"/>
            <wp:wrapNone/>
            <wp:docPr id="201" name="image9.png" descr=""/>
            <wp:cNvGraphicFramePr>
              <a:graphicFrameLocks noChangeAspect="1"/>
            </wp:cNvGraphicFramePr>
            <a:graphic>
              <a:graphicData uri="http://schemas.openxmlformats.org/drawingml/2006/picture">
                <pic:pic>
                  <pic:nvPicPr>
                    <pic:cNvPr id="202" name="image9.png"/>
                    <pic:cNvPicPr/>
                  </pic:nvPicPr>
                  <pic:blipFill>
                    <a:blip r:embed="rId13" cstate="print"/>
                    <a:stretch>
                      <a:fillRect/>
                    </a:stretch>
                  </pic:blipFill>
                  <pic:spPr>
                    <a:xfrm>
                      <a:off x="0" y="0"/>
                      <a:ext cx="474344" cy="10691748"/>
                    </a:xfrm>
                    <a:prstGeom prst="rect">
                      <a:avLst/>
                    </a:prstGeom>
                  </pic:spPr>
                </pic:pic>
              </a:graphicData>
            </a:graphic>
          </wp:anchor>
        </w:drawing>
      </w:r>
    </w:p>
    <w:p>
      <w:pPr>
        <w:pStyle w:val="BodyText"/>
        <w:rPr>
          <w:rFonts w:ascii="Arial"/>
          <w:sz w:val="20"/>
        </w:rPr>
      </w:pPr>
    </w:p>
    <w:p>
      <w:pPr>
        <w:pStyle w:val="BodyText"/>
        <w:spacing w:before="8"/>
        <w:rPr>
          <w:rFonts w:ascii="Arial"/>
          <w:sz w:val="22"/>
        </w:rPr>
      </w:pPr>
    </w:p>
    <w:p>
      <w:pPr>
        <w:spacing w:line="360" w:lineRule="auto" w:before="1"/>
        <w:ind w:left="1702" w:right="1696" w:firstLine="0"/>
        <w:jc w:val="both"/>
        <w:rPr>
          <w:i/>
          <w:sz w:val="24"/>
        </w:rPr>
      </w:pPr>
      <w:r>
        <w:rPr>
          <w:sz w:val="24"/>
        </w:rPr>
        <w:t>Considerando que neste sentido Paulo Affonso Leme Machado ressalta que a precaução age no presente para não chorar e lastimar no futuro, sendo que </w:t>
      </w:r>
      <w:r>
        <w:rPr>
          <w:i/>
          <w:sz w:val="24"/>
        </w:rPr>
        <w:t>“Não só deve estar </w:t>
      </w:r>
      <w:r>
        <w:rPr>
          <w:i/>
          <w:sz w:val="24"/>
        </w:rPr>
        <w:t>presente para impedir o prejuízo ambiental, mesmo incerto, que possa resultar das ações ou omissões humanas, como deve atuar para a prevenção oportuna desse prejuízo. Evita-se o dano ambiental, através da prevenção no tempo certo”;</w:t>
      </w:r>
    </w:p>
    <w:p>
      <w:pPr>
        <w:pStyle w:val="BodyText"/>
        <w:spacing w:before="8"/>
        <w:rPr>
          <w:i/>
          <w:sz w:val="20"/>
        </w:rPr>
      </w:pPr>
    </w:p>
    <w:p>
      <w:pPr>
        <w:pStyle w:val="BodyText"/>
        <w:spacing w:line="360" w:lineRule="auto" w:before="1"/>
        <w:ind w:left="1702" w:right="1697"/>
        <w:jc w:val="both"/>
      </w:pPr>
      <w:r>
        <w:rPr/>
        <w:t>Considerando as situações desconexas e insatisfatórias quanto a construção e implantação dos PAE´s (Planos de Ação Emergencial), que refletem negativamente e consequentemente no Plano de Contingenciamento Municipal, submetendo o município a uma condição de vulnerabilidade, impossibilitando a adequada tomada de medidas e ações a serem executadas em casos de situação de emergência, incluindo procedimentos preventivos e corretivos, além dos meios de divulgação e alerta às comunidades potencialmente atingidas (BRASIL, 2010, at. 12; 2013, art. 3º)</w:t>
      </w:r>
    </w:p>
    <w:p>
      <w:pPr>
        <w:pStyle w:val="BodyText"/>
        <w:spacing w:before="9"/>
        <w:rPr>
          <w:sz w:val="20"/>
        </w:rPr>
      </w:pPr>
    </w:p>
    <w:p>
      <w:pPr>
        <w:pStyle w:val="BodyText"/>
        <w:spacing w:line="360" w:lineRule="auto"/>
        <w:ind w:left="1702" w:right="1695"/>
        <w:jc w:val="both"/>
      </w:pPr>
      <w:r>
        <w:rPr/>
        <w:t>Considerando finalmente que, a despeito de qualquer dúvida acerca da segurança ambiental e da vida, resta-nos a decisão pela proteção imediata do ser humano e pela conservação do meio ambiente, ao que bem se expressam os conceitos primordiais </w:t>
      </w:r>
      <w:r>
        <w:rPr>
          <w:i/>
        </w:rPr>
        <w:t>“in </w:t>
      </w:r>
      <w:r>
        <w:rPr>
          <w:i/>
        </w:rPr>
        <w:t>dúbio pro salute, in dúbio pro natura”</w:t>
      </w:r>
      <w:r>
        <w:rPr/>
        <w:t>.</w:t>
      </w:r>
    </w:p>
    <w:p>
      <w:pPr>
        <w:pStyle w:val="BodyText"/>
        <w:rPr>
          <w:sz w:val="26"/>
        </w:rPr>
      </w:pPr>
    </w:p>
    <w:p>
      <w:pPr>
        <w:pStyle w:val="BodyText"/>
        <w:rPr>
          <w:sz w:val="26"/>
        </w:rPr>
      </w:pPr>
    </w:p>
    <w:p>
      <w:pPr>
        <w:pStyle w:val="BodyText"/>
        <w:spacing w:before="10"/>
        <w:rPr>
          <w:sz w:val="25"/>
        </w:rPr>
      </w:pPr>
    </w:p>
    <w:p>
      <w:pPr>
        <w:spacing w:before="0"/>
        <w:ind w:left="1702" w:right="0" w:firstLine="0"/>
        <w:jc w:val="both"/>
        <w:rPr>
          <w:sz w:val="24"/>
        </w:rPr>
      </w:pPr>
      <w:r>
        <w:rPr>
          <w:b/>
          <w:sz w:val="24"/>
        </w:rPr>
        <w:t>CONCLUÍMOS </w:t>
      </w:r>
      <w:r>
        <w:rPr>
          <w:sz w:val="24"/>
        </w:rPr>
        <w:t>que,</w:t>
      </w:r>
    </w:p>
    <w:p>
      <w:pPr>
        <w:pStyle w:val="BodyText"/>
        <w:rPr>
          <w:sz w:val="26"/>
        </w:rPr>
      </w:pPr>
    </w:p>
    <w:p>
      <w:pPr>
        <w:pStyle w:val="BodyText"/>
        <w:rPr>
          <w:sz w:val="26"/>
        </w:rPr>
      </w:pPr>
    </w:p>
    <w:p>
      <w:pPr>
        <w:pStyle w:val="BodyText"/>
        <w:spacing w:before="9"/>
        <w:rPr>
          <w:sz w:val="37"/>
        </w:rPr>
      </w:pPr>
    </w:p>
    <w:p>
      <w:pPr>
        <w:pStyle w:val="BodyText"/>
        <w:spacing w:line="360" w:lineRule="auto"/>
        <w:ind w:left="1702" w:right="1696"/>
        <w:jc w:val="both"/>
      </w:pPr>
      <w:r>
        <w:rPr/>
        <w:t>diante de todo exposto e, com vistas a legislação e consubstanciado em princípio que regem a matéria, bem como e certamente por analogia aos casos concretos, sem a pretensão de se esgotar o assunto, devem ser adotadas todas as ações e medidas que se seguirão descritas.</w:t>
      </w:r>
    </w:p>
    <w:p>
      <w:pPr>
        <w:pStyle w:val="BodyText"/>
        <w:spacing w:before="11"/>
        <w:rPr>
          <w:sz w:val="20"/>
        </w:rPr>
      </w:pPr>
    </w:p>
    <w:p>
      <w:pPr>
        <w:spacing w:line="360" w:lineRule="auto" w:before="0"/>
        <w:ind w:left="1702" w:right="1697" w:firstLine="0"/>
        <w:jc w:val="both"/>
        <w:rPr>
          <w:i/>
          <w:sz w:val="24"/>
        </w:rPr>
      </w:pPr>
      <w:r>
        <w:rPr>
          <w:sz w:val="24"/>
        </w:rPr>
        <w:t>Todas </w:t>
      </w:r>
      <w:r>
        <w:rPr>
          <w:b/>
          <w:i/>
          <w:sz w:val="24"/>
          <w:u w:val="thick"/>
        </w:rPr>
        <w:t>as empresas que possuem barragens no município de Congonhas, ou que a este</w:t>
      </w:r>
      <w:r>
        <w:rPr>
          <w:b/>
          <w:i/>
          <w:sz w:val="24"/>
        </w:rPr>
        <w:t> </w:t>
      </w:r>
      <w:r>
        <w:rPr>
          <w:b/>
          <w:i/>
          <w:sz w:val="24"/>
          <w:u w:val="thick"/>
        </w:rPr>
        <w:t>possam provocar dano, restam convocadas a aderir a Política Municipal de Gestão de</w:t>
      </w:r>
      <w:r>
        <w:rPr>
          <w:b/>
          <w:i/>
          <w:sz w:val="24"/>
        </w:rPr>
        <w:t> </w:t>
      </w:r>
      <w:r>
        <w:rPr>
          <w:b/>
          <w:i/>
          <w:sz w:val="24"/>
          <w:u w:val="thick"/>
        </w:rPr>
        <w:t>Barragens-PMGB</w:t>
      </w:r>
      <w:r>
        <w:rPr>
          <w:b/>
          <w:sz w:val="24"/>
        </w:rPr>
        <w:t>, </w:t>
      </w:r>
      <w:r>
        <w:rPr>
          <w:sz w:val="24"/>
        </w:rPr>
        <w:t>devendo cada qual providenciar imediatamente os fundos para custeio das ações e medidas que se seguirão descritas, sem prejuízo de outras que serão incluídas no decorrer da implementação</w:t>
      </w:r>
      <w:r>
        <w:rPr>
          <w:i/>
          <w:sz w:val="24"/>
        </w:rPr>
        <w:t>:</w:t>
      </w:r>
    </w:p>
    <w:p>
      <w:pPr>
        <w:pStyle w:val="BodyText"/>
        <w:spacing w:before="8"/>
        <w:rPr>
          <w:i/>
          <w:sz w:val="13"/>
        </w:rPr>
      </w:pPr>
      <w:r>
        <w:rPr/>
        <w:pict>
          <v:shape style="position:absolute;margin-left:475.660004pt;margin-top:9.11598pt;width:40.450pt;height:55.95pt;mso-position-horizontal-relative:page;mso-position-vertical-relative:paragraph;z-index:3248;mso-wrap-distance-left:0;mso-wrap-distance-right:0" type="#_x0000_t202" filled="true" fillcolor="#6fac46" stroked="false">
            <v:textbox inset="0,0,0,0">
              <w:txbxContent>
                <w:p>
                  <w:pPr>
                    <w:pStyle w:val="BodyText"/>
                    <w:spacing w:before="10"/>
                    <w:rPr>
                      <w:i/>
                      <w:sz w:val="29"/>
                    </w:rPr>
                  </w:pPr>
                </w:p>
                <w:p>
                  <w:pPr>
                    <w:spacing w:before="0"/>
                    <w:ind w:left="220" w:right="0" w:firstLine="0"/>
                    <w:jc w:val="left"/>
                    <w:rPr>
                      <w:rFonts w:ascii="Arial"/>
                      <w:sz w:val="36"/>
                    </w:rPr>
                  </w:pPr>
                  <w:r>
                    <w:rPr>
                      <w:rFonts w:ascii="Arial"/>
                      <w:color w:val="FFFFFF"/>
                      <w:sz w:val="36"/>
                    </w:rPr>
                    <w:t>43</w:t>
                  </w:r>
                </w:p>
              </w:txbxContent>
            </v:textbox>
            <v:fill type="solid"/>
            <w10:wrap type="topAndBottom"/>
          </v:shape>
        </w:pict>
      </w:r>
    </w:p>
    <w:p>
      <w:pPr>
        <w:spacing w:after="0"/>
        <w:rPr>
          <w:sz w:val="13"/>
        </w:rPr>
        <w:sectPr>
          <w:type w:val="continuous"/>
          <w:pgSz w:w="11910" w:h="16840"/>
          <w:pgMar w:top="0" w:bottom="280" w:left="0" w:right="0"/>
        </w:sectPr>
      </w:pPr>
    </w:p>
    <w:p>
      <w:pPr>
        <w:pStyle w:val="BodyText"/>
        <w:rPr>
          <w:i/>
          <w:sz w:val="20"/>
        </w:rPr>
      </w:pPr>
    </w:p>
    <w:p>
      <w:pPr>
        <w:pStyle w:val="BodyText"/>
        <w:rPr>
          <w:i/>
          <w:sz w:val="20"/>
        </w:rPr>
      </w:pPr>
    </w:p>
    <w:p>
      <w:pPr>
        <w:pStyle w:val="BodyText"/>
        <w:spacing w:before="1"/>
        <w:rPr>
          <w:i/>
          <w:sz w:val="18"/>
        </w:rPr>
      </w:pPr>
    </w:p>
    <w:p>
      <w:pPr>
        <w:spacing w:after="0"/>
        <w:rPr>
          <w:sz w:val="18"/>
        </w:rPr>
        <w:sectPr>
          <w:pgSz w:w="11910" w:h="16840"/>
          <w:pgMar w:top="0" w:bottom="0" w:left="0" w:right="0"/>
        </w:sectPr>
      </w:pPr>
    </w:p>
    <w:p>
      <w:pPr>
        <w:pStyle w:val="Heading1"/>
        <w:spacing w:line="172" w:lineRule="auto"/>
      </w:pPr>
      <w:r>
        <w:rPr/>
        <w:drawing>
          <wp:anchor distT="0" distB="0" distL="0" distR="0" allowOverlap="1" layoutInCell="1" locked="0" behindDoc="0" simplePos="0" relativeHeight="5392">
            <wp:simplePos x="0" y="0"/>
            <wp:positionH relativeFrom="page">
              <wp:posOffset>979932</wp:posOffset>
            </wp:positionH>
            <wp:positionV relativeFrom="paragraph">
              <wp:posOffset>-9589</wp:posOffset>
            </wp:positionV>
            <wp:extent cx="1478280" cy="612648"/>
            <wp:effectExtent l="0" t="0" r="0" b="0"/>
            <wp:wrapNone/>
            <wp:docPr id="203" name="image8.png" descr=""/>
            <wp:cNvGraphicFramePr>
              <a:graphicFrameLocks noChangeAspect="1"/>
            </wp:cNvGraphicFramePr>
            <a:graphic>
              <a:graphicData uri="http://schemas.openxmlformats.org/drawingml/2006/picture">
                <pic:pic>
                  <pic:nvPicPr>
                    <pic:cNvPr id="204" name="image8.png"/>
                    <pic:cNvPicPr/>
                  </pic:nvPicPr>
                  <pic:blipFill>
                    <a:blip r:embed="rId12" cstate="print"/>
                    <a:stretch>
                      <a:fillRect/>
                    </a:stretch>
                  </pic:blipFill>
                  <pic:spPr>
                    <a:xfrm>
                      <a:off x="0" y="0"/>
                      <a:ext cx="1478280" cy="612648"/>
                    </a:xfrm>
                    <a:prstGeom prst="rect">
                      <a:avLst/>
                    </a:prstGeom>
                  </pic:spPr>
                </pic:pic>
              </a:graphicData>
            </a:graphic>
          </wp:anchor>
        </w:drawing>
      </w:r>
      <w:r>
        <w:rPr>
          <w:color w:val="385522"/>
        </w:rPr>
        <w:t>meio </w:t>
      </w:r>
      <w:r>
        <w:rPr>
          <w:color w:val="385522"/>
          <w:w w:val="95"/>
        </w:rPr>
        <w:t>ambiente</w:t>
      </w:r>
    </w:p>
    <w:p>
      <w:pPr>
        <w:spacing w:before="60"/>
        <w:ind w:left="455" w:right="0" w:firstLine="0"/>
        <w:jc w:val="left"/>
        <w:rPr>
          <w:rFonts w:ascii="Arial" w:hAnsi="Arial"/>
          <w:sz w:val="22"/>
        </w:rPr>
      </w:pPr>
      <w:r>
        <w:rPr/>
        <w:br w:type="column"/>
      </w:r>
      <w:r>
        <w:rPr>
          <w:rFonts w:ascii="Arial" w:hAnsi="Arial"/>
          <w:color w:val="385522"/>
          <w:sz w:val="22"/>
        </w:rPr>
        <w:t>Plano Municipal de Segurança de Barragens-PMSB</w:t>
      </w:r>
    </w:p>
    <w:p>
      <w:pPr>
        <w:spacing w:after="0"/>
        <w:jc w:val="left"/>
        <w:rPr>
          <w:rFonts w:ascii="Arial" w:hAnsi="Arial"/>
          <w:sz w:val="22"/>
        </w:rPr>
        <w:sectPr>
          <w:type w:val="continuous"/>
          <w:pgSz w:w="11910" w:h="16840"/>
          <w:pgMar w:top="0" w:bottom="280" w:left="0" w:right="0"/>
          <w:cols w:num="2" w:equalWidth="0">
            <w:col w:w="5155" w:space="77"/>
            <w:col w:w="6678"/>
          </w:cols>
        </w:sectPr>
      </w:pPr>
    </w:p>
    <w:p>
      <w:pPr>
        <w:pStyle w:val="BodyText"/>
        <w:rPr>
          <w:rFonts w:ascii="Arial"/>
          <w:sz w:val="20"/>
        </w:rPr>
      </w:pPr>
      <w:r>
        <w:rPr/>
        <w:drawing>
          <wp:anchor distT="0" distB="0" distL="0" distR="0" allowOverlap="1" layoutInCell="1" locked="0" behindDoc="0" simplePos="0" relativeHeight="5416">
            <wp:simplePos x="0" y="0"/>
            <wp:positionH relativeFrom="page">
              <wp:posOffset>288925</wp:posOffset>
            </wp:positionH>
            <wp:positionV relativeFrom="page">
              <wp:posOffset>634</wp:posOffset>
            </wp:positionV>
            <wp:extent cx="474344" cy="10691748"/>
            <wp:effectExtent l="0" t="0" r="0" b="0"/>
            <wp:wrapNone/>
            <wp:docPr id="205" name="image9.png" descr=""/>
            <wp:cNvGraphicFramePr>
              <a:graphicFrameLocks noChangeAspect="1"/>
            </wp:cNvGraphicFramePr>
            <a:graphic>
              <a:graphicData uri="http://schemas.openxmlformats.org/drawingml/2006/picture">
                <pic:pic>
                  <pic:nvPicPr>
                    <pic:cNvPr id="206" name="image9.png"/>
                    <pic:cNvPicPr/>
                  </pic:nvPicPr>
                  <pic:blipFill>
                    <a:blip r:embed="rId13" cstate="print"/>
                    <a:stretch>
                      <a:fillRect/>
                    </a:stretch>
                  </pic:blipFill>
                  <pic:spPr>
                    <a:xfrm>
                      <a:off x="0" y="0"/>
                      <a:ext cx="474344" cy="10691748"/>
                    </a:xfrm>
                    <a:prstGeom prst="rect">
                      <a:avLst/>
                    </a:prstGeom>
                  </pic:spPr>
                </pic:pic>
              </a:graphicData>
            </a:graphic>
          </wp:anchor>
        </w:drawing>
      </w:r>
    </w:p>
    <w:p>
      <w:pPr>
        <w:pStyle w:val="BodyText"/>
        <w:rPr>
          <w:rFonts w:ascii="Arial"/>
          <w:sz w:val="20"/>
        </w:rPr>
      </w:pPr>
    </w:p>
    <w:p>
      <w:pPr>
        <w:pStyle w:val="BodyText"/>
        <w:rPr>
          <w:rFonts w:ascii="Arial"/>
          <w:sz w:val="20"/>
        </w:rPr>
      </w:pPr>
    </w:p>
    <w:p>
      <w:pPr>
        <w:pStyle w:val="BodyText"/>
        <w:spacing w:before="3"/>
        <w:rPr>
          <w:rFonts w:ascii="Arial"/>
          <w:sz w:val="27"/>
        </w:rPr>
      </w:pPr>
    </w:p>
    <w:tbl>
      <w:tblPr>
        <w:tblW w:w="0" w:type="auto"/>
        <w:jc w:val="left"/>
        <w:tblInd w:w="17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94"/>
        <w:gridCol w:w="6365"/>
        <w:gridCol w:w="1200"/>
      </w:tblGrid>
      <w:tr>
        <w:trPr>
          <w:trHeight w:val="710" w:hRule="atLeast"/>
        </w:trPr>
        <w:tc>
          <w:tcPr>
            <w:tcW w:w="8359" w:type="dxa"/>
            <w:gridSpan w:val="3"/>
            <w:shd w:val="clear" w:color="auto" w:fill="D9D9D9"/>
          </w:tcPr>
          <w:p>
            <w:pPr>
              <w:pStyle w:val="TableParagraph"/>
              <w:spacing w:before="212"/>
              <w:ind w:left="858"/>
              <w:rPr>
                <w:b/>
                <w:sz w:val="24"/>
              </w:rPr>
            </w:pPr>
            <w:r>
              <w:rPr>
                <w:b/>
                <w:sz w:val="24"/>
              </w:rPr>
              <w:t>AÇÕES DAS EMPRESAS E OPERADORES DE BARRAGENS</w:t>
            </w:r>
          </w:p>
        </w:tc>
      </w:tr>
      <w:tr>
        <w:trPr>
          <w:trHeight w:val="501" w:hRule="atLeast"/>
        </w:trPr>
        <w:tc>
          <w:tcPr>
            <w:tcW w:w="794" w:type="dxa"/>
          </w:tcPr>
          <w:p>
            <w:pPr>
              <w:pStyle w:val="TableParagraph"/>
              <w:spacing w:before="109"/>
              <w:ind w:left="105" w:right="98"/>
              <w:jc w:val="center"/>
              <w:rPr>
                <w:b/>
                <w:sz w:val="24"/>
              </w:rPr>
            </w:pPr>
            <w:r>
              <w:rPr>
                <w:b/>
                <w:sz w:val="24"/>
              </w:rPr>
              <w:t>REF.</w:t>
            </w:r>
          </w:p>
        </w:tc>
        <w:tc>
          <w:tcPr>
            <w:tcW w:w="6365" w:type="dxa"/>
          </w:tcPr>
          <w:p>
            <w:pPr>
              <w:pStyle w:val="TableParagraph"/>
              <w:spacing w:before="109"/>
              <w:ind w:left="2045"/>
              <w:rPr>
                <w:b/>
                <w:sz w:val="24"/>
              </w:rPr>
            </w:pPr>
            <w:r>
              <w:rPr>
                <w:b/>
                <w:sz w:val="24"/>
              </w:rPr>
              <w:t>AÇÕES IMEDIATAS</w:t>
            </w:r>
          </w:p>
        </w:tc>
        <w:tc>
          <w:tcPr>
            <w:tcW w:w="1200" w:type="dxa"/>
          </w:tcPr>
          <w:p>
            <w:pPr>
              <w:pStyle w:val="TableParagraph"/>
              <w:spacing w:before="109"/>
              <w:ind w:left="179"/>
              <w:rPr>
                <w:b/>
                <w:sz w:val="24"/>
              </w:rPr>
            </w:pPr>
            <w:r>
              <w:rPr>
                <w:b/>
                <w:sz w:val="24"/>
              </w:rPr>
              <w:t>PRAZO</w:t>
            </w:r>
          </w:p>
        </w:tc>
      </w:tr>
      <w:tr>
        <w:trPr>
          <w:trHeight w:val="2172" w:hRule="atLeast"/>
        </w:trPr>
        <w:tc>
          <w:tcPr>
            <w:tcW w:w="794" w:type="dxa"/>
          </w:tcPr>
          <w:p>
            <w:pPr>
              <w:pStyle w:val="TableParagraph"/>
              <w:rPr>
                <w:rFonts w:ascii="Arial"/>
                <w:sz w:val="26"/>
              </w:rPr>
            </w:pPr>
          </w:p>
          <w:p>
            <w:pPr>
              <w:pStyle w:val="TableParagraph"/>
              <w:rPr>
                <w:rFonts w:ascii="Arial"/>
                <w:sz w:val="26"/>
              </w:rPr>
            </w:pPr>
          </w:p>
          <w:p>
            <w:pPr>
              <w:pStyle w:val="TableParagraph"/>
              <w:spacing w:before="161"/>
              <w:ind w:left="7"/>
              <w:jc w:val="center"/>
              <w:rPr>
                <w:b/>
                <w:i/>
                <w:sz w:val="24"/>
              </w:rPr>
            </w:pPr>
            <w:r>
              <w:rPr>
                <w:b/>
                <w:i/>
                <w:sz w:val="24"/>
              </w:rPr>
              <w:t>1</w:t>
            </w:r>
          </w:p>
        </w:tc>
        <w:tc>
          <w:tcPr>
            <w:tcW w:w="6365" w:type="dxa"/>
          </w:tcPr>
          <w:p>
            <w:pPr>
              <w:pStyle w:val="TableParagraph"/>
              <w:ind w:left="108" w:right="95"/>
              <w:jc w:val="both"/>
              <w:rPr>
                <w:i/>
                <w:sz w:val="24"/>
              </w:rPr>
            </w:pPr>
            <w:r>
              <w:rPr>
                <w:i/>
                <w:sz w:val="24"/>
              </w:rPr>
              <w:t>Promover a criação de um </w:t>
            </w:r>
            <w:r>
              <w:rPr>
                <w:b/>
                <w:i/>
                <w:sz w:val="24"/>
              </w:rPr>
              <w:t>Grupo de Ação Mútua-GAM</w:t>
            </w:r>
            <w:r>
              <w:rPr>
                <w:i/>
                <w:sz w:val="24"/>
              </w:rPr>
              <w:t>, </w:t>
            </w:r>
            <w:r>
              <w:rPr>
                <w:i/>
                <w:sz w:val="24"/>
              </w:rPr>
              <w:t>interempresarial, com autonomia para realizar os trabalhos propostos na presente política, com início imediato de análise, avaliação </w:t>
            </w:r>
            <w:r>
              <w:rPr>
                <w:b/>
                <w:i/>
                <w:sz w:val="24"/>
              </w:rPr>
              <w:t>e integração de todos os mapas de inundação</w:t>
            </w:r>
            <w:r>
              <w:rPr>
                <w:i/>
                <w:sz w:val="24"/>
              </w:rPr>
              <w:t>; </w:t>
            </w:r>
            <w:r>
              <w:rPr>
                <w:i/>
                <w:sz w:val="24"/>
              </w:rPr>
              <w:t>criando um modelo único para subsídio e construção do plano de contingenciamento municipal e a realização das demais ações.</w:t>
            </w:r>
          </w:p>
        </w:tc>
        <w:tc>
          <w:tcPr>
            <w:tcW w:w="1200" w:type="dxa"/>
          </w:tcPr>
          <w:p>
            <w:pPr>
              <w:pStyle w:val="TableParagraph"/>
              <w:rPr>
                <w:rFonts w:ascii="Arial"/>
                <w:sz w:val="26"/>
              </w:rPr>
            </w:pPr>
          </w:p>
          <w:p>
            <w:pPr>
              <w:pStyle w:val="TableParagraph"/>
              <w:rPr>
                <w:rFonts w:ascii="Arial"/>
                <w:sz w:val="26"/>
              </w:rPr>
            </w:pPr>
          </w:p>
          <w:p>
            <w:pPr>
              <w:pStyle w:val="TableParagraph"/>
              <w:spacing w:before="161"/>
              <w:ind w:left="248"/>
              <w:rPr>
                <w:b/>
                <w:i/>
                <w:sz w:val="24"/>
              </w:rPr>
            </w:pPr>
            <w:r>
              <w:rPr>
                <w:b/>
                <w:i/>
                <w:sz w:val="24"/>
              </w:rPr>
              <w:t>30 dias</w:t>
            </w:r>
          </w:p>
        </w:tc>
      </w:tr>
      <w:tr>
        <w:trPr>
          <w:trHeight w:val="2723" w:hRule="atLeast"/>
        </w:trPr>
        <w:tc>
          <w:tcPr>
            <w:tcW w:w="794" w:type="dxa"/>
          </w:tcPr>
          <w:p>
            <w:pPr>
              <w:pStyle w:val="TableParagraph"/>
              <w:rPr>
                <w:rFonts w:ascii="Arial"/>
                <w:sz w:val="26"/>
              </w:rPr>
            </w:pPr>
          </w:p>
          <w:p>
            <w:pPr>
              <w:pStyle w:val="TableParagraph"/>
              <w:rPr>
                <w:rFonts w:ascii="Arial"/>
                <w:sz w:val="26"/>
              </w:rPr>
            </w:pPr>
          </w:p>
          <w:p>
            <w:pPr>
              <w:pStyle w:val="TableParagraph"/>
              <w:rPr>
                <w:rFonts w:ascii="Arial"/>
                <w:sz w:val="38"/>
              </w:rPr>
            </w:pPr>
          </w:p>
          <w:p>
            <w:pPr>
              <w:pStyle w:val="TableParagraph"/>
              <w:spacing w:before="1"/>
              <w:ind w:left="7"/>
              <w:jc w:val="center"/>
              <w:rPr>
                <w:b/>
                <w:i/>
                <w:sz w:val="24"/>
              </w:rPr>
            </w:pPr>
            <w:r>
              <w:rPr>
                <w:b/>
                <w:i/>
                <w:sz w:val="24"/>
              </w:rPr>
              <w:t>2</w:t>
            </w:r>
          </w:p>
        </w:tc>
        <w:tc>
          <w:tcPr>
            <w:tcW w:w="6365" w:type="dxa"/>
          </w:tcPr>
          <w:p>
            <w:pPr>
              <w:pStyle w:val="TableParagraph"/>
              <w:ind w:left="108" w:right="97"/>
              <w:jc w:val="both"/>
              <w:rPr>
                <w:i/>
                <w:sz w:val="24"/>
              </w:rPr>
            </w:pPr>
            <w:r>
              <w:rPr>
                <w:i/>
                <w:sz w:val="24"/>
              </w:rPr>
              <w:t>Instrumentalizar e equipar um “</w:t>
            </w:r>
            <w:r>
              <w:rPr>
                <w:b/>
                <w:i/>
                <w:sz w:val="24"/>
              </w:rPr>
              <w:t>Centro de Comando de Ações </w:t>
            </w:r>
            <w:r>
              <w:rPr>
                <w:b/>
                <w:i/>
                <w:sz w:val="24"/>
              </w:rPr>
              <w:t>Emergenciais da Defesa Civil</w:t>
            </w:r>
            <w:r>
              <w:rPr>
                <w:i/>
                <w:sz w:val="24"/>
              </w:rPr>
              <w:t>”, para monitorar e comandar as </w:t>
            </w:r>
            <w:r>
              <w:rPr>
                <w:i/>
                <w:sz w:val="24"/>
              </w:rPr>
              <w:t>ações emergenciais e de contingenciamento, que atue tanto nas barragens quanto em eventos provocados por ação humana ou da natureza (enchentes, vendavais, acidentes, deslizamentos de encostas, incêndios, etc.), dotado ainda com equipamentos capazes de receber informações em tempo real sobre as condições de estabilidade, monitoramento e imagens das barragens.</w:t>
            </w:r>
          </w:p>
        </w:tc>
        <w:tc>
          <w:tcPr>
            <w:tcW w:w="1200" w:type="dxa"/>
          </w:tcPr>
          <w:p>
            <w:pPr>
              <w:pStyle w:val="TableParagraph"/>
              <w:rPr>
                <w:rFonts w:ascii="Arial"/>
                <w:sz w:val="26"/>
              </w:rPr>
            </w:pPr>
          </w:p>
          <w:p>
            <w:pPr>
              <w:pStyle w:val="TableParagraph"/>
              <w:rPr>
                <w:rFonts w:ascii="Arial"/>
                <w:sz w:val="26"/>
              </w:rPr>
            </w:pPr>
          </w:p>
          <w:p>
            <w:pPr>
              <w:pStyle w:val="TableParagraph"/>
              <w:rPr>
                <w:rFonts w:ascii="Arial"/>
                <w:sz w:val="38"/>
              </w:rPr>
            </w:pPr>
          </w:p>
          <w:p>
            <w:pPr>
              <w:pStyle w:val="TableParagraph"/>
              <w:spacing w:before="1"/>
              <w:ind w:left="248"/>
              <w:rPr>
                <w:b/>
                <w:i/>
                <w:sz w:val="24"/>
              </w:rPr>
            </w:pPr>
            <w:r>
              <w:rPr>
                <w:b/>
                <w:i/>
                <w:sz w:val="24"/>
              </w:rPr>
              <w:t>90 dias</w:t>
            </w:r>
          </w:p>
        </w:tc>
      </w:tr>
      <w:tr>
        <w:trPr>
          <w:trHeight w:val="2174" w:hRule="atLeast"/>
        </w:trPr>
        <w:tc>
          <w:tcPr>
            <w:tcW w:w="794" w:type="dxa"/>
          </w:tcPr>
          <w:p>
            <w:pPr>
              <w:pStyle w:val="TableParagraph"/>
              <w:rPr>
                <w:rFonts w:ascii="Arial"/>
                <w:sz w:val="26"/>
              </w:rPr>
            </w:pPr>
          </w:p>
          <w:p>
            <w:pPr>
              <w:pStyle w:val="TableParagraph"/>
              <w:rPr>
                <w:rFonts w:ascii="Arial"/>
                <w:sz w:val="26"/>
              </w:rPr>
            </w:pPr>
          </w:p>
          <w:p>
            <w:pPr>
              <w:pStyle w:val="TableParagraph"/>
              <w:spacing w:before="161"/>
              <w:ind w:left="7"/>
              <w:jc w:val="center"/>
              <w:rPr>
                <w:b/>
                <w:i/>
                <w:sz w:val="24"/>
              </w:rPr>
            </w:pPr>
            <w:r>
              <w:rPr>
                <w:b/>
                <w:i/>
                <w:sz w:val="24"/>
              </w:rPr>
              <w:t>3</w:t>
            </w:r>
          </w:p>
        </w:tc>
        <w:tc>
          <w:tcPr>
            <w:tcW w:w="6365" w:type="dxa"/>
          </w:tcPr>
          <w:p>
            <w:pPr>
              <w:pStyle w:val="TableParagraph"/>
              <w:ind w:left="108" w:right="95"/>
              <w:jc w:val="both"/>
              <w:rPr>
                <w:i/>
                <w:sz w:val="24"/>
              </w:rPr>
            </w:pPr>
            <w:r>
              <w:rPr>
                <w:i/>
                <w:sz w:val="24"/>
              </w:rPr>
              <w:t>Custear a elaboração do </w:t>
            </w:r>
            <w:r>
              <w:rPr>
                <w:b/>
                <w:i/>
                <w:sz w:val="24"/>
              </w:rPr>
              <w:t>Plano de Contingência Integrado</w:t>
            </w:r>
            <w:r>
              <w:rPr>
                <w:i/>
                <w:sz w:val="24"/>
              </w:rPr>
              <w:t>, </w:t>
            </w:r>
            <w:r>
              <w:rPr>
                <w:i/>
                <w:sz w:val="24"/>
              </w:rPr>
              <w:t>com profissionais e equipe multidisciplinares independentes e aprovadas pelo poder público, além de realizar </w:t>
            </w:r>
            <w:r>
              <w:rPr>
                <w:b/>
                <w:i/>
                <w:sz w:val="24"/>
              </w:rPr>
              <w:t>planos </w:t>
            </w:r>
            <w:r>
              <w:rPr>
                <w:b/>
                <w:i/>
                <w:sz w:val="24"/>
              </w:rPr>
              <w:t>emergenciais de evacuação individualizados </w:t>
            </w:r>
            <w:r>
              <w:rPr>
                <w:i/>
                <w:sz w:val="24"/>
              </w:rPr>
              <w:t>para prédios </w:t>
            </w:r>
            <w:r>
              <w:rPr>
                <w:i/>
                <w:sz w:val="24"/>
              </w:rPr>
              <w:t>públicos localizados nas zonas de autosalvamento, como creches, escolas, postos de saúde, etc, indicando e realizando as sinalizações e obras de adaptação</w:t>
            </w:r>
            <w:r>
              <w:rPr>
                <w:i/>
                <w:spacing w:val="-1"/>
                <w:sz w:val="24"/>
              </w:rPr>
              <w:t> </w:t>
            </w:r>
            <w:r>
              <w:rPr>
                <w:i/>
                <w:sz w:val="24"/>
              </w:rPr>
              <w:t>necessárias.</w:t>
            </w:r>
          </w:p>
        </w:tc>
        <w:tc>
          <w:tcPr>
            <w:tcW w:w="1200" w:type="dxa"/>
          </w:tcPr>
          <w:p>
            <w:pPr>
              <w:pStyle w:val="TableParagraph"/>
              <w:rPr>
                <w:rFonts w:ascii="Arial"/>
                <w:sz w:val="26"/>
              </w:rPr>
            </w:pPr>
          </w:p>
          <w:p>
            <w:pPr>
              <w:pStyle w:val="TableParagraph"/>
              <w:rPr>
                <w:rFonts w:ascii="Arial"/>
                <w:sz w:val="26"/>
              </w:rPr>
            </w:pPr>
          </w:p>
          <w:p>
            <w:pPr>
              <w:pStyle w:val="TableParagraph"/>
              <w:spacing w:before="161"/>
              <w:ind w:left="188"/>
              <w:rPr>
                <w:b/>
                <w:i/>
                <w:sz w:val="24"/>
              </w:rPr>
            </w:pPr>
            <w:r>
              <w:rPr>
                <w:b/>
                <w:i/>
                <w:sz w:val="24"/>
              </w:rPr>
              <w:t>180 dias</w:t>
            </w:r>
          </w:p>
        </w:tc>
      </w:tr>
      <w:tr>
        <w:trPr>
          <w:trHeight w:val="1343" w:hRule="atLeast"/>
        </w:trPr>
        <w:tc>
          <w:tcPr>
            <w:tcW w:w="794" w:type="dxa"/>
          </w:tcPr>
          <w:p>
            <w:pPr>
              <w:pStyle w:val="TableParagraph"/>
              <w:spacing w:before="8"/>
              <w:rPr>
                <w:rFonts w:ascii="Arial"/>
                <w:sz w:val="29"/>
              </w:rPr>
            </w:pPr>
          </w:p>
          <w:p>
            <w:pPr>
              <w:pStyle w:val="TableParagraph"/>
              <w:ind w:left="7"/>
              <w:jc w:val="center"/>
              <w:rPr>
                <w:b/>
                <w:i/>
                <w:sz w:val="24"/>
              </w:rPr>
            </w:pPr>
            <w:r>
              <w:rPr>
                <w:b/>
                <w:i/>
                <w:sz w:val="24"/>
              </w:rPr>
              <w:t>4</w:t>
            </w:r>
          </w:p>
        </w:tc>
        <w:tc>
          <w:tcPr>
            <w:tcW w:w="6365" w:type="dxa"/>
          </w:tcPr>
          <w:p>
            <w:pPr>
              <w:pStyle w:val="TableParagraph"/>
              <w:spacing w:line="237" w:lineRule="auto"/>
              <w:ind w:left="108" w:right="100"/>
              <w:jc w:val="both"/>
              <w:rPr>
                <w:i/>
                <w:sz w:val="24"/>
              </w:rPr>
            </w:pPr>
            <w:r>
              <w:rPr>
                <w:b/>
                <w:i/>
                <w:sz w:val="24"/>
              </w:rPr>
              <w:t>Unificar os processos de treinamento, capacitação, </w:t>
            </w:r>
            <w:r>
              <w:rPr>
                <w:b/>
                <w:i/>
                <w:sz w:val="24"/>
              </w:rPr>
              <w:t>sinalização e comunicação</w:t>
            </w:r>
            <w:r>
              <w:rPr>
                <w:i/>
                <w:sz w:val="24"/>
              </w:rPr>
              <w:t>, que devem se dar por meio da </w:t>
            </w:r>
            <w:r>
              <w:rPr>
                <w:i/>
                <w:sz w:val="24"/>
              </w:rPr>
              <w:t>Defesa Civil e não individualizado, por empresas ou eventos, mas</w:t>
            </w:r>
            <w:r>
              <w:rPr>
                <w:i/>
                <w:spacing w:val="-1"/>
                <w:sz w:val="24"/>
              </w:rPr>
              <w:t> </w:t>
            </w:r>
            <w:r>
              <w:rPr>
                <w:i/>
                <w:sz w:val="24"/>
              </w:rPr>
              <w:t>integrados;</w:t>
            </w:r>
          </w:p>
        </w:tc>
        <w:tc>
          <w:tcPr>
            <w:tcW w:w="1200" w:type="dxa"/>
          </w:tcPr>
          <w:p>
            <w:pPr>
              <w:pStyle w:val="TableParagraph"/>
              <w:spacing w:before="8"/>
              <w:rPr>
                <w:rFonts w:ascii="Arial"/>
                <w:sz w:val="29"/>
              </w:rPr>
            </w:pPr>
          </w:p>
          <w:p>
            <w:pPr>
              <w:pStyle w:val="TableParagraph"/>
              <w:ind w:left="248"/>
              <w:rPr>
                <w:b/>
                <w:i/>
                <w:sz w:val="24"/>
              </w:rPr>
            </w:pPr>
            <w:r>
              <w:rPr>
                <w:b/>
                <w:i/>
                <w:sz w:val="24"/>
              </w:rPr>
              <w:t>60 dias</w:t>
            </w:r>
          </w:p>
        </w:tc>
      </w:tr>
      <w:tr>
        <w:trPr>
          <w:trHeight w:val="3036" w:hRule="atLeast"/>
        </w:trPr>
        <w:tc>
          <w:tcPr>
            <w:tcW w:w="794" w:type="dxa"/>
          </w:tcPr>
          <w:p>
            <w:pPr>
              <w:pStyle w:val="TableParagraph"/>
              <w:rPr>
                <w:rFonts w:ascii="Arial"/>
                <w:sz w:val="26"/>
              </w:rPr>
            </w:pPr>
          </w:p>
          <w:p>
            <w:pPr>
              <w:pStyle w:val="TableParagraph"/>
              <w:rPr>
                <w:rFonts w:ascii="Arial"/>
                <w:sz w:val="26"/>
              </w:rPr>
            </w:pPr>
          </w:p>
          <w:p>
            <w:pPr>
              <w:pStyle w:val="TableParagraph"/>
              <w:rPr>
                <w:rFonts w:ascii="Arial"/>
                <w:sz w:val="26"/>
              </w:rPr>
            </w:pPr>
          </w:p>
          <w:p>
            <w:pPr>
              <w:pStyle w:val="TableParagraph"/>
              <w:spacing w:before="5"/>
              <w:rPr>
                <w:rFonts w:ascii="Arial"/>
                <w:sz w:val="25"/>
              </w:rPr>
            </w:pPr>
          </w:p>
          <w:p>
            <w:pPr>
              <w:pStyle w:val="TableParagraph"/>
              <w:ind w:left="7"/>
              <w:jc w:val="center"/>
              <w:rPr>
                <w:b/>
                <w:i/>
                <w:sz w:val="24"/>
              </w:rPr>
            </w:pPr>
            <w:r>
              <w:rPr>
                <w:b/>
                <w:i/>
                <w:sz w:val="24"/>
              </w:rPr>
              <w:t>5</w:t>
            </w:r>
          </w:p>
        </w:tc>
        <w:tc>
          <w:tcPr>
            <w:tcW w:w="6365" w:type="dxa"/>
          </w:tcPr>
          <w:p>
            <w:pPr>
              <w:pStyle w:val="TableParagraph"/>
              <w:ind w:left="108" w:right="94"/>
              <w:jc w:val="both"/>
              <w:rPr>
                <w:i/>
                <w:sz w:val="24"/>
              </w:rPr>
            </w:pPr>
            <w:r>
              <w:rPr>
                <w:b/>
                <w:i/>
                <w:sz w:val="24"/>
              </w:rPr>
              <w:t>Aperfeiçoar a comunicação, os projetos e instrumentos de </w:t>
            </w:r>
            <w:r>
              <w:rPr>
                <w:b/>
                <w:i/>
                <w:sz w:val="24"/>
              </w:rPr>
              <w:t>apoio a situações de emergência</w:t>
            </w:r>
            <w:r>
              <w:rPr>
                <w:i/>
                <w:sz w:val="24"/>
              </w:rPr>
              <w:t>: </w:t>
            </w:r>
            <w:r>
              <w:rPr>
                <w:b/>
                <w:i/>
                <w:sz w:val="24"/>
              </w:rPr>
              <w:t>a) </w:t>
            </w:r>
            <w:r>
              <w:rPr>
                <w:i/>
                <w:sz w:val="24"/>
              </w:rPr>
              <w:t>confeccionar </w:t>
            </w:r>
            <w:r>
              <w:rPr>
                <w:i/>
                <w:sz w:val="24"/>
                <w:u w:val="single"/>
              </w:rPr>
              <w:t>mapas</w:t>
            </w:r>
            <w:r>
              <w:rPr>
                <w:i/>
                <w:sz w:val="24"/>
              </w:rPr>
              <w:t> </w:t>
            </w:r>
            <w:r>
              <w:rPr>
                <w:i/>
                <w:sz w:val="24"/>
                <w:u w:val="single"/>
              </w:rPr>
              <w:t>físicos de rotas</w:t>
            </w:r>
            <w:r>
              <w:rPr>
                <w:i/>
                <w:sz w:val="24"/>
              </w:rPr>
              <w:t> para afixação nas respectivas portas de  entrada e saída de casas, comércios e demais estabelecimentos, com </w:t>
            </w:r>
            <w:r>
              <w:rPr>
                <w:i/>
                <w:sz w:val="24"/>
                <w:u w:val="single"/>
              </w:rPr>
              <w:t>número de telefone de emergência da Defesa Civil</w:t>
            </w:r>
            <w:r>
              <w:rPr>
                <w:i/>
                <w:sz w:val="24"/>
              </w:rPr>
              <w:t>, disponível 24hs; </w:t>
            </w:r>
            <w:r>
              <w:rPr>
                <w:b/>
                <w:i/>
                <w:sz w:val="24"/>
              </w:rPr>
              <w:t>b) </w:t>
            </w:r>
            <w:r>
              <w:rPr>
                <w:i/>
                <w:sz w:val="24"/>
              </w:rPr>
              <w:t>trabalhar junto a companhia de telefonia </w:t>
            </w:r>
            <w:r>
              <w:rPr>
                <w:i/>
                <w:sz w:val="24"/>
              </w:rPr>
              <w:t>celular um sistema de envio de mensagens e alertas em </w:t>
            </w:r>
            <w:r>
              <w:rPr>
                <w:i/>
                <w:sz w:val="24"/>
                <w:u w:val="single"/>
              </w:rPr>
              <w:t>sistema</w:t>
            </w:r>
            <w:r>
              <w:rPr>
                <w:i/>
                <w:sz w:val="24"/>
              </w:rPr>
              <w:t> </w:t>
            </w:r>
            <w:r>
              <w:rPr>
                <w:i/>
                <w:sz w:val="24"/>
                <w:u w:val="single"/>
              </w:rPr>
              <w:t>SMS</w:t>
            </w:r>
            <w:r>
              <w:rPr>
                <w:i/>
                <w:sz w:val="24"/>
              </w:rPr>
              <w:t> para todos os telefones móveis que estejam ao alcance das torres de telefonia no município; </w:t>
            </w:r>
            <w:r>
              <w:rPr>
                <w:b/>
                <w:i/>
                <w:sz w:val="24"/>
              </w:rPr>
              <w:t>c) </w:t>
            </w:r>
            <w:r>
              <w:rPr>
                <w:i/>
                <w:sz w:val="24"/>
              </w:rPr>
              <w:t>desenvolver </w:t>
            </w:r>
            <w:r>
              <w:rPr>
                <w:i/>
                <w:sz w:val="24"/>
                <w:u w:val="single"/>
              </w:rPr>
              <w:t>aplicativo de</w:t>
            </w:r>
            <w:r>
              <w:rPr>
                <w:i/>
                <w:sz w:val="24"/>
              </w:rPr>
              <w:t> </w:t>
            </w:r>
            <w:r>
              <w:rPr>
                <w:i/>
                <w:sz w:val="24"/>
                <w:u w:val="single"/>
              </w:rPr>
              <w:t>mobilidade   para   deslocamento    das   ZAS-Zonas   de   </w:t>
            </w:r>
            <w:r>
              <w:rPr>
                <w:i/>
                <w:spacing w:val="4"/>
                <w:sz w:val="24"/>
                <w:u w:val="single"/>
              </w:rPr>
              <w:t> </w:t>
            </w:r>
            <w:r>
              <w:rPr>
                <w:i/>
                <w:sz w:val="24"/>
                <w:u w:val="single"/>
              </w:rPr>
              <w:t>Auto</w:t>
            </w:r>
          </w:p>
          <w:p>
            <w:pPr>
              <w:pStyle w:val="TableParagraph"/>
              <w:spacing w:line="260" w:lineRule="exact"/>
              <w:ind w:left="108"/>
              <w:jc w:val="both"/>
              <w:rPr>
                <w:i/>
                <w:sz w:val="24"/>
              </w:rPr>
            </w:pPr>
            <w:r>
              <w:rPr>
                <w:i/>
                <w:sz w:val="24"/>
                <w:u w:val="single"/>
              </w:rPr>
              <w:t>Salvamento</w:t>
            </w:r>
            <w:r>
              <w:rPr>
                <w:i/>
                <w:spacing w:val="18"/>
                <w:sz w:val="24"/>
                <w:u w:val="single"/>
              </w:rPr>
              <w:t> </w:t>
            </w:r>
            <w:r>
              <w:rPr>
                <w:i/>
                <w:sz w:val="24"/>
                <w:u w:val="single"/>
              </w:rPr>
              <w:t>até</w:t>
            </w:r>
            <w:r>
              <w:rPr>
                <w:i/>
                <w:spacing w:val="18"/>
                <w:sz w:val="24"/>
                <w:u w:val="single"/>
              </w:rPr>
              <w:t> </w:t>
            </w:r>
            <w:r>
              <w:rPr>
                <w:i/>
                <w:sz w:val="24"/>
                <w:u w:val="single"/>
              </w:rPr>
              <w:t>os</w:t>
            </w:r>
            <w:r>
              <w:rPr>
                <w:i/>
                <w:spacing w:val="18"/>
                <w:sz w:val="24"/>
                <w:u w:val="single"/>
              </w:rPr>
              <w:t> </w:t>
            </w:r>
            <w:r>
              <w:rPr>
                <w:i/>
                <w:sz w:val="24"/>
                <w:u w:val="single"/>
              </w:rPr>
              <w:t>pontos</w:t>
            </w:r>
            <w:r>
              <w:rPr>
                <w:i/>
                <w:spacing w:val="19"/>
                <w:sz w:val="24"/>
                <w:u w:val="single"/>
              </w:rPr>
              <w:t> </w:t>
            </w:r>
            <w:r>
              <w:rPr>
                <w:i/>
                <w:sz w:val="24"/>
                <w:u w:val="single"/>
              </w:rPr>
              <w:t>de</w:t>
            </w:r>
            <w:r>
              <w:rPr>
                <w:i/>
                <w:spacing w:val="18"/>
                <w:sz w:val="24"/>
                <w:u w:val="single"/>
              </w:rPr>
              <w:t> </w:t>
            </w:r>
            <w:r>
              <w:rPr>
                <w:i/>
                <w:sz w:val="24"/>
                <w:u w:val="single"/>
              </w:rPr>
              <w:t>encontro</w:t>
            </w:r>
            <w:r>
              <w:rPr>
                <w:i/>
                <w:spacing w:val="18"/>
                <w:sz w:val="24"/>
                <w:u w:val="single"/>
              </w:rPr>
              <w:t> </w:t>
            </w:r>
            <w:r>
              <w:rPr>
                <w:i/>
                <w:sz w:val="24"/>
                <w:u w:val="single"/>
              </w:rPr>
              <w:t>ou</w:t>
            </w:r>
            <w:r>
              <w:rPr>
                <w:i/>
                <w:spacing w:val="18"/>
                <w:sz w:val="24"/>
                <w:u w:val="single"/>
              </w:rPr>
              <w:t> </w:t>
            </w:r>
            <w:r>
              <w:rPr>
                <w:i/>
                <w:sz w:val="24"/>
                <w:u w:val="single"/>
              </w:rPr>
              <w:t>zonas</w:t>
            </w:r>
            <w:r>
              <w:rPr>
                <w:i/>
                <w:spacing w:val="19"/>
                <w:sz w:val="24"/>
                <w:u w:val="single"/>
              </w:rPr>
              <w:t> </w:t>
            </w:r>
            <w:r>
              <w:rPr>
                <w:i/>
                <w:sz w:val="24"/>
                <w:u w:val="single"/>
              </w:rPr>
              <w:t>de</w:t>
            </w:r>
            <w:r>
              <w:rPr>
                <w:i/>
                <w:spacing w:val="17"/>
                <w:sz w:val="24"/>
                <w:u w:val="single"/>
              </w:rPr>
              <w:t> </w:t>
            </w:r>
            <w:r>
              <w:rPr>
                <w:i/>
                <w:sz w:val="24"/>
                <w:u w:val="single"/>
              </w:rPr>
              <w:t>segurança</w:t>
            </w:r>
            <w:r>
              <w:rPr>
                <w:i/>
                <w:sz w:val="24"/>
              </w:rPr>
              <w:t>;</w:t>
            </w:r>
          </w:p>
        </w:tc>
        <w:tc>
          <w:tcPr>
            <w:tcW w:w="1200" w:type="dxa"/>
          </w:tcPr>
          <w:p>
            <w:pPr>
              <w:pStyle w:val="TableParagraph"/>
              <w:rPr>
                <w:rFonts w:ascii="Arial"/>
                <w:sz w:val="26"/>
              </w:rPr>
            </w:pPr>
          </w:p>
          <w:p>
            <w:pPr>
              <w:pStyle w:val="TableParagraph"/>
              <w:rPr>
                <w:rFonts w:ascii="Arial"/>
                <w:sz w:val="26"/>
              </w:rPr>
            </w:pPr>
          </w:p>
          <w:p>
            <w:pPr>
              <w:pStyle w:val="TableParagraph"/>
              <w:rPr>
                <w:rFonts w:ascii="Arial"/>
                <w:sz w:val="26"/>
              </w:rPr>
            </w:pPr>
          </w:p>
          <w:p>
            <w:pPr>
              <w:pStyle w:val="TableParagraph"/>
              <w:spacing w:before="5"/>
              <w:rPr>
                <w:rFonts w:ascii="Arial"/>
                <w:sz w:val="25"/>
              </w:rPr>
            </w:pPr>
          </w:p>
          <w:p>
            <w:pPr>
              <w:pStyle w:val="TableParagraph"/>
              <w:ind w:left="248"/>
              <w:rPr>
                <w:b/>
                <w:i/>
                <w:sz w:val="24"/>
              </w:rPr>
            </w:pPr>
            <w:r>
              <w:rPr>
                <w:b/>
                <w:i/>
                <w:sz w:val="24"/>
              </w:rPr>
              <w:t>90 dias</w:t>
            </w:r>
          </w:p>
        </w:tc>
      </w:tr>
    </w:tbl>
    <w:p>
      <w:pPr>
        <w:pStyle w:val="BodyText"/>
        <w:rPr>
          <w:rFonts w:ascii="Arial"/>
          <w:sz w:val="20"/>
        </w:rPr>
      </w:pPr>
    </w:p>
    <w:p>
      <w:pPr>
        <w:pStyle w:val="BodyText"/>
        <w:spacing w:before="5"/>
        <w:rPr>
          <w:rFonts w:ascii="Arial"/>
          <w:sz w:val="15"/>
        </w:rPr>
      </w:pPr>
      <w:r>
        <w:rPr/>
        <w:pict>
          <v:shape style="position:absolute;margin-left:475.660004pt;margin-top:10.100977pt;width:40.450pt;height:55.95pt;mso-position-horizontal-relative:page;mso-position-vertical-relative:paragraph;z-index:3320;mso-wrap-distance-left:0;mso-wrap-distance-right:0" type="#_x0000_t202" filled="true" fillcolor="#6fac46" stroked="false">
            <v:textbox inset="0,0,0,0">
              <w:txbxContent>
                <w:p>
                  <w:pPr>
                    <w:pStyle w:val="BodyText"/>
                    <w:spacing w:before="10"/>
                    <w:rPr>
                      <w:rFonts w:ascii="Arial"/>
                      <w:sz w:val="29"/>
                    </w:rPr>
                  </w:pPr>
                </w:p>
                <w:p>
                  <w:pPr>
                    <w:spacing w:before="0"/>
                    <w:ind w:left="220" w:right="0" w:firstLine="0"/>
                    <w:jc w:val="left"/>
                    <w:rPr>
                      <w:rFonts w:ascii="Arial"/>
                      <w:sz w:val="36"/>
                    </w:rPr>
                  </w:pPr>
                  <w:r>
                    <w:rPr>
                      <w:rFonts w:ascii="Arial"/>
                      <w:color w:val="FFFFFF"/>
                      <w:sz w:val="36"/>
                    </w:rPr>
                    <w:t>44</w:t>
                  </w:r>
                </w:p>
              </w:txbxContent>
            </v:textbox>
            <v:fill type="solid"/>
            <w10:wrap type="topAndBottom"/>
          </v:shape>
        </w:pict>
      </w:r>
    </w:p>
    <w:p>
      <w:pPr>
        <w:spacing w:after="0"/>
        <w:rPr>
          <w:rFonts w:ascii="Arial"/>
          <w:sz w:val="15"/>
        </w:rPr>
        <w:sectPr>
          <w:type w:val="continuous"/>
          <w:pgSz w:w="11910" w:h="16840"/>
          <w:pgMar w:top="0" w:bottom="280" w:left="0" w:right="0"/>
        </w:sectPr>
      </w:pPr>
    </w:p>
    <w:p>
      <w:pPr>
        <w:pStyle w:val="BodyText"/>
        <w:rPr>
          <w:rFonts w:ascii="Arial"/>
          <w:sz w:val="20"/>
        </w:rPr>
      </w:pPr>
    </w:p>
    <w:p>
      <w:pPr>
        <w:pStyle w:val="BodyText"/>
        <w:rPr>
          <w:rFonts w:ascii="Arial"/>
          <w:sz w:val="20"/>
        </w:rPr>
      </w:pPr>
    </w:p>
    <w:p>
      <w:pPr>
        <w:pStyle w:val="BodyText"/>
        <w:spacing w:before="1"/>
        <w:rPr>
          <w:rFonts w:ascii="Arial"/>
          <w:sz w:val="18"/>
        </w:rPr>
      </w:pPr>
    </w:p>
    <w:p>
      <w:pPr>
        <w:spacing w:after="0"/>
        <w:rPr>
          <w:rFonts w:ascii="Arial"/>
          <w:sz w:val="18"/>
        </w:rPr>
        <w:sectPr>
          <w:pgSz w:w="11910" w:h="16840"/>
          <w:pgMar w:top="0" w:bottom="0" w:left="0" w:right="0"/>
        </w:sectPr>
      </w:pPr>
    </w:p>
    <w:p>
      <w:pPr>
        <w:pStyle w:val="Heading1"/>
        <w:spacing w:line="172" w:lineRule="auto"/>
      </w:pPr>
      <w:r>
        <w:rPr/>
        <w:drawing>
          <wp:anchor distT="0" distB="0" distL="0" distR="0" allowOverlap="1" layoutInCell="1" locked="0" behindDoc="0" simplePos="0" relativeHeight="5464">
            <wp:simplePos x="0" y="0"/>
            <wp:positionH relativeFrom="page">
              <wp:posOffset>979932</wp:posOffset>
            </wp:positionH>
            <wp:positionV relativeFrom="paragraph">
              <wp:posOffset>-9589</wp:posOffset>
            </wp:positionV>
            <wp:extent cx="1478280" cy="612648"/>
            <wp:effectExtent l="0" t="0" r="0" b="0"/>
            <wp:wrapNone/>
            <wp:docPr id="207" name="image8.png" descr=""/>
            <wp:cNvGraphicFramePr>
              <a:graphicFrameLocks noChangeAspect="1"/>
            </wp:cNvGraphicFramePr>
            <a:graphic>
              <a:graphicData uri="http://schemas.openxmlformats.org/drawingml/2006/picture">
                <pic:pic>
                  <pic:nvPicPr>
                    <pic:cNvPr id="208" name="image8.png"/>
                    <pic:cNvPicPr/>
                  </pic:nvPicPr>
                  <pic:blipFill>
                    <a:blip r:embed="rId12" cstate="print"/>
                    <a:stretch>
                      <a:fillRect/>
                    </a:stretch>
                  </pic:blipFill>
                  <pic:spPr>
                    <a:xfrm>
                      <a:off x="0" y="0"/>
                      <a:ext cx="1478280" cy="612648"/>
                    </a:xfrm>
                    <a:prstGeom prst="rect">
                      <a:avLst/>
                    </a:prstGeom>
                  </pic:spPr>
                </pic:pic>
              </a:graphicData>
            </a:graphic>
          </wp:anchor>
        </w:drawing>
      </w:r>
      <w:r>
        <w:rPr>
          <w:color w:val="385522"/>
        </w:rPr>
        <w:t>meio </w:t>
      </w:r>
      <w:r>
        <w:rPr>
          <w:color w:val="385522"/>
          <w:w w:val="95"/>
        </w:rPr>
        <w:t>ambiente</w:t>
      </w:r>
    </w:p>
    <w:p>
      <w:pPr>
        <w:spacing w:before="60"/>
        <w:ind w:left="455" w:right="0" w:firstLine="0"/>
        <w:jc w:val="left"/>
        <w:rPr>
          <w:rFonts w:ascii="Arial" w:hAnsi="Arial"/>
          <w:sz w:val="22"/>
        </w:rPr>
      </w:pPr>
      <w:r>
        <w:rPr/>
        <w:br w:type="column"/>
      </w:r>
      <w:r>
        <w:rPr>
          <w:rFonts w:ascii="Arial" w:hAnsi="Arial"/>
          <w:color w:val="385522"/>
          <w:sz w:val="22"/>
        </w:rPr>
        <w:t>Plano Municipal de Segurança de Barragens-PMSB</w:t>
      </w:r>
    </w:p>
    <w:p>
      <w:pPr>
        <w:spacing w:after="0"/>
        <w:jc w:val="left"/>
        <w:rPr>
          <w:rFonts w:ascii="Arial" w:hAnsi="Arial"/>
          <w:sz w:val="22"/>
        </w:rPr>
        <w:sectPr>
          <w:type w:val="continuous"/>
          <w:pgSz w:w="11910" w:h="16840"/>
          <w:pgMar w:top="0" w:bottom="280" w:left="0" w:right="0"/>
          <w:cols w:num="2" w:equalWidth="0">
            <w:col w:w="5155" w:space="77"/>
            <w:col w:w="6678"/>
          </w:cols>
        </w:sectPr>
      </w:pPr>
    </w:p>
    <w:p>
      <w:pPr>
        <w:pStyle w:val="BodyText"/>
        <w:rPr>
          <w:rFonts w:ascii="Arial"/>
          <w:sz w:val="20"/>
        </w:rPr>
      </w:pPr>
      <w:r>
        <w:rPr/>
        <w:drawing>
          <wp:anchor distT="0" distB="0" distL="0" distR="0" allowOverlap="1" layoutInCell="1" locked="0" behindDoc="0" simplePos="0" relativeHeight="5488">
            <wp:simplePos x="0" y="0"/>
            <wp:positionH relativeFrom="page">
              <wp:posOffset>288925</wp:posOffset>
            </wp:positionH>
            <wp:positionV relativeFrom="page">
              <wp:posOffset>634</wp:posOffset>
            </wp:positionV>
            <wp:extent cx="474344" cy="10691748"/>
            <wp:effectExtent l="0" t="0" r="0" b="0"/>
            <wp:wrapNone/>
            <wp:docPr id="209" name="image9.png" descr=""/>
            <wp:cNvGraphicFramePr>
              <a:graphicFrameLocks noChangeAspect="1"/>
            </wp:cNvGraphicFramePr>
            <a:graphic>
              <a:graphicData uri="http://schemas.openxmlformats.org/drawingml/2006/picture">
                <pic:pic>
                  <pic:nvPicPr>
                    <pic:cNvPr id="210" name="image9.png"/>
                    <pic:cNvPicPr/>
                  </pic:nvPicPr>
                  <pic:blipFill>
                    <a:blip r:embed="rId13" cstate="print"/>
                    <a:stretch>
                      <a:fillRect/>
                    </a:stretch>
                  </pic:blipFill>
                  <pic:spPr>
                    <a:xfrm>
                      <a:off x="0" y="0"/>
                      <a:ext cx="474344" cy="10691748"/>
                    </a:xfrm>
                    <a:prstGeom prst="rect">
                      <a:avLst/>
                    </a:prstGeom>
                  </pic:spPr>
                </pic:pic>
              </a:graphicData>
            </a:graphic>
          </wp:anchor>
        </w:drawing>
      </w:r>
    </w:p>
    <w:p>
      <w:pPr>
        <w:pStyle w:val="BodyText"/>
        <w:rPr>
          <w:rFonts w:ascii="Arial"/>
          <w:sz w:val="20"/>
        </w:rPr>
      </w:pPr>
    </w:p>
    <w:p>
      <w:pPr>
        <w:pStyle w:val="BodyText"/>
        <w:rPr>
          <w:rFonts w:ascii="Arial"/>
          <w:sz w:val="23"/>
        </w:rPr>
      </w:pPr>
    </w:p>
    <w:tbl>
      <w:tblPr>
        <w:tblW w:w="0" w:type="auto"/>
        <w:jc w:val="left"/>
        <w:tblInd w:w="17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94"/>
        <w:gridCol w:w="6365"/>
        <w:gridCol w:w="1200"/>
      </w:tblGrid>
      <w:tr>
        <w:trPr>
          <w:trHeight w:val="2726" w:hRule="atLeast"/>
        </w:trPr>
        <w:tc>
          <w:tcPr>
            <w:tcW w:w="794" w:type="dxa"/>
          </w:tcPr>
          <w:p>
            <w:pPr>
              <w:pStyle w:val="TableParagraph"/>
              <w:rPr>
                <w:sz w:val="24"/>
              </w:rPr>
            </w:pPr>
          </w:p>
        </w:tc>
        <w:tc>
          <w:tcPr>
            <w:tcW w:w="6365" w:type="dxa"/>
          </w:tcPr>
          <w:p>
            <w:pPr>
              <w:pStyle w:val="TableParagraph"/>
              <w:ind w:left="108" w:right="97"/>
              <w:jc w:val="both"/>
              <w:rPr>
                <w:i/>
                <w:sz w:val="24"/>
              </w:rPr>
            </w:pPr>
            <w:r>
              <w:rPr>
                <w:b/>
                <w:i/>
                <w:sz w:val="24"/>
              </w:rPr>
              <w:t>d) </w:t>
            </w:r>
            <w:r>
              <w:rPr>
                <w:i/>
                <w:sz w:val="24"/>
              </w:rPr>
              <w:t>desenvolver um plano/projeto para </w:t>
            </w:r>
            <w:r>
              <w:rPr>
                <w:i/>
                <w:sz w:val="24"/>
                <w:u w:val="single"/>
              </w:rPr>
              <w:t>garantir o acesso e o </w:t>
            </w:r>
            <w:r>
              <w:rPr>
                <w:i/>
                <w:sz w:val="24"/>
                <w:u w:val="single"/>
              </w:rPr>
              <w:t>fornecimento de água potável e energia</w:t>
            </w:r>
            <w:r>
              <w:rPr>
                <w:i/>
                <w:sz w:val="24"/>
              </w:rPr>
              <w:t> nas comunidades e cidades que tenham a sua infraestrutura potencialmente atingida na eventualidade de um rompimento; </w:t>
            </w:r>
            <w:r>
              <w:rPr>
                <w:b/>
                <w:i/>
                <w:sz w:val="24"/>
              </w:rPr>
              <w:t>e) </w:t>
            </w:r>
            <w:r>
              <w:rPr>
                <w:i/>
                <w:sz w:val="24"/>
              </w:rPr>
              <w:t>estudar</w:t>
            </w:r>
            <w:r>
              <w:rPr>
                <w:i/>
                <w:sz w:val="24"/>
                <w:u w:val="single"/>
              </w:rPr>
              <w:t> </w:t>
            </w:r>
            <w:r>
              <w:rPr>
                <w:i/>
                <w:sz w:val="24"/>
                <w:u w:val="single"/>
              </w:rPr>
              <w:t>medidas para salvaguarda e resgate do patrimônio histórico e cultural</w:t>
            </w:r>
            <w:r>
              <w:rPr>
                <w:i/>
                <w:sz w:val="24"/>
              </w:rPr>
              <w:t>; </w:t>
            </w:r>
            <w:r>
              <w:rPr>
                <w:b/>
                <w:i/>
                <w:sz w:val="24"/>
              </w:rPr>
              <w:t>f) </w:t>
            </w:r>
            <w:r>
              <w:rPr>
                <w:i/>
                <w:sz w:val="24"/>
              </w:rPr>
              <w:t>elaborar projetos, designando orçamentos e </w:t>
            </w:r>
            <w:r>
              <w:rPr>
                <w:i/>
                <w:sz w:val="24"/>
              </w:rPr>
              <w:t>responsabilidades para adequação, </w:t>
            </w:r>
            <w:r>
              <w:rPr>
                <w:i/>
                <w:sz w:val="24"/>
                <w:u w:val="single"/>
              </w:rPr>
              <w:t>construção e instalação de sistemas de sinalização fixo e móveis, bem como rotas de fuga</w:t>
            </w:r>
            <w:r>
              <w:rPr>
                <w:i/>
                <w:sz w:val="24"/>
              </w:rPr>
              <w:t> para atender ações dos PAE´s;</w:t>
            </w:r>
          </w:p>
        </w:tc>
        <w:tc>
          <w:tcPr>
            <w:tcW w:w="1200" w:type="dxa"/>
          </w:tcPr>
          <w:p>
            <w:pPr>
              <w:pStyle w:val="TableParagraph"/>
              <w:rPr>
                <w:sz w:val="24"/>
              </w:rPr>
            </w:pPr>
          </w:p>
        </w:tc>
      </w:tr>
      <w:tr>
        <w:trPr>
          <w:trHeight w:val="2172" w:hRule="atLeast"/>
        </w:trPr>
        <w:tc>
          <w:tcPr>
            <w:tcW w:w="794" w:type="dxa"/>
          </w:tcPr>
          <w:p>
            <w:pPr>
              <w:pStyle w:val="TableParagraph"/>
              <w:rPr>
                <w:rFonts w:ascii="Arial"/>
                <w:sz w:val="26"/>
              </w:rPr>
            </w:pPr>
          </w:p>
          <w:p>
            <w:pPr>
              <w:pStyle w:val="TableParagraph"/>
              <w:rPr>
                <w:rFonts w:ascii="Arial"/>
                <w:sz w:val="26"/>
              </w:rPr>
            </w:pPr>
          </w:p>
          <w:p>
            <w:pPr>
              <w:pStyle w:val="TableParagraph"/>
              <w:spacing w:before="160"/>
              <w:ind w:left="7"/>
              <w:jc w:val="center"/>
              <w:rPr>
                <w:b/>
                <w:i/>
                <w:sz w:val="24"/>
              </w:rPr>
            </w:pPr>
            <w:r>
              <w:rPr>
                <w:b/>
                <w:i/>
                <w:sz w:val="24"/>
              </w:rPr>
              <w:t>6</w:t>
            </w:r>
          </w:p>
        </w:tc>
        <w:tc>
          <w:tcPr>
            <w:tcW w:w="6365" w:type="dxa"/>
          </w:tcPr>
          <w:p>
            <w:pPr>
              <w:pStyle w:val="TableParagraph"/>
              <w:ind w:left="108" w:right="95"/>
              <w:jc w:val="both"/>
              <w:rPr>
                <w:i/>
                <w:sz w:val="24"/>
              </w:rPr>
            </w:pPr>
            <w:r>
              <w:rPr>
                <w:i/>
                <w:sz w:val="24"/>
              </w:rPr>
              <w:t>Criar anualmente o “</w:t>
            </w:r>
            <w:r>
              <w:rPr>
                <w:b/>
                <w:i/>
                <w:sz w:val="24"/>
              </w:rPr>
              <w:t>Seminário sobre Mineração </w:t>
            </w:r>
            <w:r>
              <w:rPr>
                <w:b/>
                <w:i/>
                <w:sz w:val="24"/>
              </w:rPr>
              <w:t>Sustentável”</w:t>
            </w:r>
            <w:r>
              <w:rPr>
                <w:i/>
                <w:sz w:val="24"/>
              </w:rPr>
              <w:t>, com ênfase a alternativas para disposição de </w:t>
            </w:r>
            <w:r>
              <w:rPr>
                <w:i/>
                <w:sz w:val="24"/>
              </w:rPr>
              <w:t>rejeitos, novas tecnologias de monitoramento, beneficiamento, reaproveitamento e segurança na área mineral, como meio de promover o conhecimento e o compartilhamento do assunto entre poder público, empresas, meios acadêmicos, entidades representativas e a sociedade em geral;</w:t>
            </w:r>
          </w:p>
        </w:tc>
        <w:tc>
          <w:tcPr>
            <w:tcW w:w="1200" w:type="dxa"/>
          </w:tcPr>
          <w:p>
            <w:pPr>
              <w:pStyle w:val="TableParagraph"/>
              <w:rPr>
                <w:rFonts w:ascii="Arial"/>
                <w:sz w:val="26"/>
              </w:rPr>
            </w:pPr>
          </w:p>
          <w:p>
            <w:pPr>
              <w:pStyle w:val="TableParagraph"/>
              <w:rPr>
                <w:rFonts w:ascii="Arial"/>
                <w:sz w:val="26"/>
              </w:rPr>
            </w:pPr>
          </w:p>
          <w:p>
            <w:pPr>
              <w:pStyle w:val="TableParagraph"/>
              <w:rPr>
                <w:rFonts w:ascii="Arial"/>
                <w:sz w:val="26"/>
              </w:rPr>
            </w:pPr>
          </w:p>
          <w:p>
            <w:pPr>
              <w:pStyle w:val="TableParagraph"/>
              <w:spacing w:before="187"/>
              <w:ind w:left="188"/>
              <w:rPr>
                <w:b/>
                <w:i/>
                <w:sz w:val="24"/>
              </w:rPr>
            </w:pPr>
            <w:r>
              <w:rPr>
                <w:b/>
                <w:i/>
                <w:sz w:val="24"/>
              </w:rPr>
              <w:t>180 dias</w:t>
            </w:r>
          </w:p>
        </w:tc>
      </w:tr>
      <w:tr>
        <w:trPr>
          <w:trHeight w:val="1895" w:hRule="atLeast"/>
        </w:trPr>
        <w:tc>
          <w:tcPr>
            <w:tcW w:w="794" w:type="dxa"/>
          </w:tcPr>
          <w:p>
            <w:pPr>
              <w:pStyle w:val="TableParagraph"/>
              <w:rPr>
                <w:rFonts w:ascii="Arial"/>
                <w:sz w:val="26"/>
              </w:rPr>
            </w:pPr>
          </w:p>
          <w:p>
            <w:pPr>
              <w:pStyle w:val="TableParagraph"/>
              <w:spacing w:before="11"/>
              <w:rPr>
                <w:rFonts w:ascii="Arial"/>
                <w:sz w:val="27"/>
              </w:rPr>
            </w:pPr>
          </w:p>
          <w:p>
            <w:pPr>
              <w:pStyle w:val="TableParagraph"/>
              <w:ind w:left="7"/>
              <w:jc w:val="center"/>
              <w:rPr>
                <w:b/>
                <w:i/>
                <w:sz w:val="24"/>
              </w:rPr>
            </w:pPr>
            <w:r>
              <w:rPr>
                <w:b/>
                <w:i/>
                <w:sz w:val="24"/>
              </w:rPr>
              <w:t>7</w:t>
            </w:r>
          </w:p>
        </w:tc>
        <w:tc>
          <w:tcPr>
            <w:tcW w:w="6365" w:type="dxa"/>
          </w:tcPr>
          <w:p>
            <w:pPr>
              <w:pStyle w:val="TableParagraph"/>
              <w:ind w:left="108" w:right="95"/>
              <w:jc w:val="both"/>
              <w:rPr>
                <w:i/>
                <w:sz w:val="24"/>
              </w:rPr>
            </w:pPr>
            <w:r>
              <w:rPr>
                <w:i/>
                <w:sz w:val="24"/>
              </w:rPr>
              <w:t>Criar, treinar e instrumentalizar uma </w:t>
            </w:r>
            <w:r>
              <w:rPr>
                <w:b/>
                <w:i/>
                <w:sz w:val="24"/>
              </w:rPr>
              <w:t>“Brigada Voluntária </w:t>
            </w:r>
            <w:r>
              <w:rPr>
                <w:b/>
                <w:i/>
                <w:sz w:val="24"/>
              </w:rPr>
              <w:t>Municipal”</w:t>
            </w:r>
            <w:r>
              <w:rPr>
                <w:i/>
                <w:sz w:val="24"/>
              </w:rPr>
              <w:t>, com intuito de preparar a sociedade civil para </w:t>
            </w:r>
            <w:r>
              <w:rPr>
                <w:i/>
                <w:sz w:val="24"/>
              </w:rPr>
              <w:t>trabalhos de ação, prevenção e resgate em consonância com as atividades da Defesa Civil e do Corpo de Bombeiros, sobretudo no apoio a estes no enfrentamento a casos concretos de situações de emergências.</w:t>
            </w:r>
          </w:p>
        </w:tc>
        <w:tc>
          <w:tcPr>
            <w:tcW w:w="1200" w:type="dxa"/>
          </w:tcPr>
          <w:p>
            <w:pPr>
              <w:pStyle w:val="TableParagraph"/>
              <w:rPr>
                <w:rFonts w:ascii="Arial"/>
                <w:sz w:val="26"/>
              </w:rPr>
            </w:pPr>
          </w:p>
          <w:p>
            <w:pPr>
              <w:pStyle w:val="TableParagraph"/>
              <w:spacing w:before="11"/>
              <w:rPr>
                <w:rFonts w:ascii="Arial"/>
                <w:sz w:val="27"/>
              </w:rPr>
            </w:pPr>
          </w:p>
          <w:p>
            <w:pPr>
              <w:pStyle w:val="TableParagraph"/>
              <w:ind w:left="188"/>
              <w:rPr>
                <w:b/>
                <w:i/>
                <w:sz w:val="24"/>
              </w:rPr>
            </w:pPr>
            <w:r>
              <w:rPr>
                <w:b/>
                <w:i/>
                <w:sz w:val="24"/>
              </w:rPr>
              <w:t>180 dias</w:t>
            </w:r>
          </w:p>
        </w:tc>
      </w:tr>
      <w:tr>
        <w:trPr>
          <w:trHeight w:val="1619" w:hRule="atLeast"/>
        </w:trPr>
        <w:tc>
          <w:tcPr>
            <w:tcW w:w="794" w:type="dxa"/>
          </w:tcPr>
          <w:p>
            <w:pPr>
              <w:pStyle w:val="TableParagraph"/>
              <w:rPr>
                <w:rFonts w:ascii="Arial"/>
                <w:sz w:val="26"/>
              </w:rPr>
            </w:pPr>
          </w:p>
          <w:p>
            <w:pPr>
              <w:pStyle w:val="TableParagraph"/>
              <w:spacing w:before="182"/>
              <w:ind w:left="7"/>
              <w:jc w:val="center"/>
              <w:rPr>
                <w:b/>
                <w:i/>
                <w:sz w:val="24"/>
              </w:rPr>
            </w:pPr>
            <w:r>
              <w:rPr>
                <w:b/>
                <w:i/>
                <w:sz w:val="24"/>
              </w:rPr>
              <w:t>8</w:t>
            </w:r>
          </w:p>
        </w:tc>
        <w:tc>
          <w:tcPr>
            <w:tcW w:w="6365" w:type="dxa"/>
          </w:tcPr>
          <w:p>
            <w:pPr>
              <w:pStyle w:val="TableParagraph"/>
              <w:ind w:left="108" w:right="95"/>
              <w:jc w:val="both"/>
              <w:rPr>
                <w:i/>
                <w:sz w:val="24"/>
              </w:rPr>
            </w:pPr>
            <w:r>
              <w:rPr>
                <w:b/>
                <w:i/>
                <w:sz w:val="24"/>
              </w:rPr>
              <w:t>Revisão do Plano Diretor do Município de Congonhas</w:t>
            </w:r>
            <w:r>
              <w:rPr>
                <w:i/>
                <w:sz w:val="24"/>
              </w:rPr>
              <w:t>, </w:t>
            </w:r>
            <w:r>
              <w:rPr>
                <w:i/>
                <w:sz w:val="24"/>
              </w:rPr>
              <w:t>levando em conta além de sua atualização necessária com vistas ao georreferenciamento, estes novos cenários de inundação, projetos e planos de expansão da atividade minerária, considerando os planos diretores destas empresas;</w:t>
            </w:r>
          </w:p>
        </w:tc>
        <w:tc>
          <w:tcPr>
            <w:tcW w:w="1200" w:type="dxa"/>
          </w:tcPr>
          <w:p>
            <w:pPr>
              <w:pStyle w:val="TableParagraph"/>
              <w:rPr>
                <w:rFonts w:ascii="Arial"/>
                <w:sz w:val="26"/>
              </w:rPr>
            </w:pPr>
          </w:p>
          <w:p>
            <w:pPr>
              <w:pStyle w:val="TableParagraph"/>
              <w:spacing w:before="182"/>
              <w:ind w:left="188"/>
              <w:rPr>
                <w:b/>
                <w:i/>
                <w:sz w:val="24"/>
              </w:rPr>
            </w:pPr>
            <w:r>
              <w:rPr>
                <w:b/>
                <w:i/>
                <w:sz w:val="24"/>
              </w:rPr>
              <w:t>360 dias</w:t>
            </w:r>
          </w:p>
        </w:tc>
      </w:tr>
      <w:tr>
        <w:trPr>
          <w:trHeight w:val="1307" w:hRule="atLeast"/>
        </w:trPr>
        <w:tc>
          <w:tcPr>
            <w:tcW w:w="8359" w:type="dxa"/>
            <w:gridSpan w:val="3"/>
            <w:tcBorders>
              <w:left w:val="nil"/>
              <w:right w:val="nil"/>
            </w:tcBorders>
          </w:tcPr>
          <w:p>
            <w:pPr>
              <w:pStyle w:val="TableParagraph"/>
              <w:rPr>
                <w:sz w:val="24"/>
              </w:rPr>
            </w:pPr>
          </w:p>
        </w:tc>
      </w:tr>
      <w:tr>
        <w:trPr>
          <w:trHeight w:val="585" w:hRule="atLeast"/>
        </w:trPr>
        <w:tc>
          <w:tcPr>
            <w:tcW w:w="8359" w:type="dxa"/>
            <w:gridSpan w:val="3"/>
            <w:shd w:val="clear" w:color="auto" w:fill="D9D9D9"/>
          </w:tcPr>
          <w:p>
            <w:pPr>
              <w:pStyle w:val="TableParagraph"/>
              <w:spacing w:before="150"/>
              <w:ind w:left="1737"/>
              <w:rPr>
                <w:b/>
                <w:sz w:val="24"/>
              </w:rPr>
            </w:pPr>
            <w:r>
              <w:rPr>
                <w:b/>
                <w:sz w:val="24"/>
              </w:rPr>
              <w:t>AÇÕES DA PREFEITURA DE CONGONHAS</w:t>
            </w:r>
          </w:p>
        </w:tc>
      </w:tr>
      <w:tr>
        <w:trPr>
          <w:trHeight w:val="501" w:hRule="atLeast"/>
        </w:trPr>
        <w:tc>
          <w:tcPr>
            <w:tcW w:w="794" w:type="dxa"/>
          </w:tcPr>
          <w:p>
            <w:pPr>
              <w:pStyle w:val="TableParagraph"/>
              <w:spacing w:before="109"/>
              <w:ind w:left="105" w:right="98"/>
              <w:jc w:val="center"/>
              <w:rPr>
                <w:b/>
                <w:sz w:val="24"/>
              </w:rPr>
            </w:pPr>
            <w:r>
              <w:rPr>
                <w:b/>
                <w:sz w:val="24"/>
              </w:rPr>
              <w:t>REF.</w:t>
            </w:r>
          </w:p>
        </w:tc>
        <w:tc>
          <w:tcPr>
            <w:tcW w:w="6365" w:type="dxa"/>
          </w:tcPr>
          <w:p>
            <w:pPr>
              <w:pStyle w:val="TableParagraph"/>
              <w:spacing w:before="109"/>
              <w:ind w:left="2045"/>
              <w:rPr>
                <w:b/>
                <w:sz w:val="24"/>
              </w:rPr>
            </w:pPr>
            <w:r>
              <w:rPr>
                <w:b/>
                <w:sz w:val="24"/>
              </w:rPr>
              <w:t>AÇÕES IMEDIATAS</w:t>
            </w:r>
          </w:p>
        </w:tc>
        <w:tc>
          <w:tcPr>
            <w:tcW w:w="1200" w:type="dxa"/>
          </w:tcPr>
          <w:p>
            <w:pPr>
              <w:pStyle w:val="TableParagraph"/>
              <w:spacing w:before="109"/>
              <w:ind w:left="179"/>
              <w:rPr>
                <w:b/>
                <w:sz w:val="24"/>
              </w:rPr>
            </w:pPr>
            <w:r>
              <w:rPr>
                <w:b/>
                <w:sz w:val="24"/>
              </w:rPr>
              <w:t>PRAZO</w:t>
            </w:r>
          </w:p>
        </w:tc>
      </w:tr>
      <w:tr>
        <w:trPr>
          <w:trHeight w:val="2210" w:hRule="atLeast"/>
        </w:trPr>
        <w:tc>
          <w:tcPr>
            <w:tcW w:w="794" w:type="dxa"/>
          </w:tcPr>
          <w:p>
            <w:pPr>
              <w:pStyle w:val="TableParagraph"/>
              <w:rPr>
                <w:rFonts w:ascii="Arial"/>
                <w:sz w:val="26"/>
              </w:rPr>
            </w:pPr>
          </w:p>
          <w:p>
            <w:pPr>
              <w:pStyle w:val="TableParagraph"/>
              <w:rPr>
                <w:rFonts w:ascii="Arial"/>
                <w:sz w:val="26"/>
              </w:rPr>
            </w:pPr>
          </w:p>
          <w:p>
            <w:pPr>
              <w:pStyle w:val="TableParagraph"/>
              <w:spacing w:before="179"/>
              <w:ind w:left="7"/>
              <w:jc w:val="center"/>
              <w:rPr>
                <w:b/>
                <w:i/>
                <w:sz w:val="24"/>
              </w:rPr>
            </w:pPr>
            <w:r>
              <w:rPr>
                <w:b/>
                <w:i/>
                <w:sz w:val="24"/>
              </w:rPr>
              <w:t>9</w:t>
            </w:r>
          </w:p>
        </w:tc>
        <w:tc>
          <w:tcPr>
            <w:tcW w:w="6365" w:type="dxa"/>
          </w:tcPr>
          <w:p>
            <w:pPr>
              <w:pStyle w:val="TableParagraph"/>
              <w:ind w:left="108" w:right="94"/>
              <w:jc w:val="both"/>
              <w:rPr>
                <w:i/>
                <w:sz w:val="24"/>
              </w:rPr>
            </w:pPr>
            <w:r>
              <w:rPr>
                <w:i/>
                <w:sz w:val="24"/>
              </w:rPr>
              <w:t>Propor projeto de lei da </w:t>
            </w:r>
            <w:r>
              <w:rPr>
                <w:b/>
                <w:i/>
                <w:sz w:val="24"/>
                <w:u w:val="thick"/>
              </w:rPr>
              <w:t>Política Municipal de Segurança de</w:t>
            </w:r>
            <w:r>
              <w:rPr>
                <w:b/>
                <w:i/>
                <w:sz w:val="24"/>
              </w:rPr>
              <w:t> </w:t>
            </w:r>
            <w:r>
              <w:rPr>
                <w:b/>
                <w:i/>
                <w:sz w:val="24"/>
                <w:u w:val="thick"/>
              </w:rPr>
              <w:t>Barragens-PMSB</w:t>
            </w:r>
            <w:r>
              <w:rPr>
                <w:b/>
                <w:i/>
                <w:sz w:val="24"/>
              </w:rPr>
              <w:t>, </w:t>
            </w:r>
            <w:r>
              <w:rPr>
                <w:i/>
                <w:sz w:val="24"/>
              </w:rPr>
              <w:t>a fim de consolidar o presente Plano </w:t>
            </w:r>
            <w:r>
              <w:rPr>
                <w:i/>
                <w:sz w:val="24"/>
              </w:rPr>
              <w:t>Municipal como política pública, sendo seus objetivos, orientações, diretrizes e recomendações convertidas em lei municipal que, dentre outros, busque minimizar os fatores de risco  e garantir  a máxima segurança  social  e </w:t>
            </w:r>
            <w:r>
              <w:rPr>
                <w:i/>
                <w:spacing w:val="29"/>
                <w:sz w:val="24"/>
              </w:rPr>
              <w:t> </w:t>
            </w:r>
            <w:r>
              <w:rPr>
                <w:i/>
                <w:sz w:val="24"/>
              </w:rPr>
              <w:t>ambiental,  ao</w:t>
            </w:r>
          </w:p>
          <w:p>
            <w:pPr>
              <w:pStyle w:val="TableParagraph"/>
              <w:spacing w:line="276" w:lineRule="exact"/>
              <w:ind w:left="108" w:right="98"/>
              <w:jc w:val="both"/>
              <w:rPr>
                <w:i/>
                <w:sz w:val="24"/>
              </w:rPr>
            </w:pPr>
            <w:r>
              <w:rPr>
                <w:i/>
                <w:sz w:val="24"/>
              </w:rPr>
              <w:t>mesmo tempo em que incentiva a criação de mecanismos e </w:t>
            </w:r>
            <w:r>
              <w:rPr>
                <w:i/>
                <w:sz w:val="24"/>
              </w:rPr>
              <w:t>alternativas de disposição de rejeitos, buscando a promoção</w:t>
            </w:r>
            <w:r>
              <w:rPr>
                <w:i/>
                <w:spacing w:val="8"/>
                <w:sz w:val="24"/>
              </w:rPr>
              <w:t> </w:t>
            </w:r>
            <w:r>
              <w:rPr>
                <w:i/>
                <w:sz w:val="24"/>
              </w:rPr>
              <w:t>de</w:t>
            </w:r>
          </w:p>
        </w:tc>
        <w:tc>
          <w:tcPr>
            <w:tcW w:w="1200" w:type="dxa"/>
          </w:tcPr>
          <w:p>
            <w:pPr>
              <w:pStyle w:val="TableParagraph"/>
              <w:rPr>
                <w:rFonts w:ascii="Arial"/>
                <w:sz w:val="26"/>
              </w:rPr>
            </w:pPr>
          </w:p>
          <w:p>
            <w:pPr>
              <w:pStyle w:val="TableParagraph"/>
              <w:rPr>
                <w:rFonts w:ascii="Arial"/>
                <w:sz w:val="26"/>
              </w:rPr>
            </w:pPr>
          </w:p>
          <w:p>
            <w:pPr>
              <w:pStyle w:val="TableParagraph"/>
              <w:spacing w:before="179"/>
              <w:ind w:left="188"/>
              <w:rPr>
                <w:b/>
                <w:i/>
                <w:sz w:val="24"/>
              </w:rPr>
            </w:pPr>
            <w:r>
              <w:rPr>
                <w:b/>
                <w:i/>
                <w:sz w:val="24"/>
              </w:rPr>
              <w:t>120 dias</w:t>
            </w:r>
          </w:p>
        </w:tc>
      </w:tr>
    </w:tbl>
    <w:p>
      <w:pPr>
        <w:pStyle w:val="BodyText"/>
        <w:spacing w:before="8"/>
        <w:rPr>
          <w:rFonts w:ascii="Arial"/>
          <w:sz w:val="27"/>
        </w:rPr>
      </w:pPr>
      <w:r>
        <w:rPr/>
        <w:pict>
          <v:shape style="position:absolute;margin-left:475.660004pt;margin-top:17.16pt;width:40.450pt;height:55.95pt;mso-position-horizontal-relative:page;mso-position-vertical-relative:paragraph;z-index:3392;mso-wrap-distance-left:0;mso-wrap-distance-right:0" type="#_x0000_t202" filled="true" fillcolor="#6fac46" stroked="false">
            <v:textbox inset="0,0,0,0">
              <w:txbxContent>
                <w:p>
                  <w:pPr>
                    <w:pStyle w:val="BodyText"/>
                    <w:spacing w:before="10"/>
                    <w:rPr>
                      <w:rFonts w:ascii="Arial"/>
                      <w:sz w:val="29"/>
                    </w:rPr>
                  </w:pPr>
                </w:p>
                <w:p>
                  <w:pPr>
                    <w:spacing w:before="0"/>
                    <w:ind w:left="220" w:right="0" w:firstLine="0"/>
                    <w:jc w:val="left"/>
                    <w:rPr>
                      <w:rFonts w:ascii="Arial"/>
                      <w:sz w:val="36"/>
                    </w:rPr>
                  </w:pPr>
                  <w:r>
                    <w:rPr>
                      <w:rFonts w:ascii="Arial"/>
                      <w:color w:val="FFFFFF"/>
                      <w:sz w:val="36"/>
                    </w:rPr>
                    <w:t>45</w:t>
                  </w:r>
                </w:p>
              </w:txbxContent>
            </v:textbox>
            <v:fill type="solid"/>
            <w10:wrap type="topAndBottom"/>
          </v:shape>
        </w:pict>
      </w:r>
    </w:p>
    <w:p>
      <w:pPr>
        <w:spacing w:after="0"/>
        <w:rPr>
          <w:rFonts w:ascii="Arial"/>
          <w:sz w:val="27"/>
        </w:rPr>
        <w:sectPr>
          <w:type w:val="continuous"/>
          <w:pgSz w:w="11910" w:h="16840"/>
          <w:pgMar w:top="0" w:bottom="280" w:left="0" w:right="0"/>
        </w:sectPr>
      </w:pPr>
    </w:p>
    <w:p>
      <w:pPr>
        <w:pStyle w:val="BodyText"/>
        <w:rPr>
          <w:rFonts w:ascii="Arial"/>
          <w:sz w:val="20"/>
        </w:rPr>
      </w:pPr>
    </w:p>
    <w:p>
      <w:pPr>
        <w:pStyle w:val="BodyText"/>
        <w:rPr>
          <w:rFonts w:ascii="Arial"/>
          <w:sz w:val="20"/>
        </w:rPr>
      </w:pPr>
    </w:p>
    <w:p>
      <w:pPr>
        <w:pStyle w:val="BodyText"/>
        <w:spacing w:before="1"/>
        <w:rPr>
          <w:rFonts w:ascii="Arial"/>
          <w:sz w:val="18"/>
        </w:rPr>
      </w:pPr>
    </w:p>
    <w:p>
      <w:pPr>
        <w:spacing w:after="0"/>
        <w:rPr>
          <w:rFonts w:ascii="Arial"/>
          <w:sz w:val="18"/>
        </w:rPr>
        <w:sectPr>
          <w:pgSz w:w="11910" w:h="16840"/>
          <w:pgMar w:top="0" w:bottom="0" w:left="0" w:right="0"/>
        </w:sectPr>
      </w:pPr>
    </w:p>
    <w:p>
      <w:pPr>
        <w:pStyle w:val="Heading1"/>
        <w:spacing w:line="172" w:lineRule="auto"/>
      </w:pPr>
      <w:r>
        <w:rPr/>
        <w:drawing>
          <wp:anchor distT="0" distB="0" distL="0" distR="0" allowOverlap="1" layoutInCell="1" locked="0" behindDoc="0" simplePos="0" relativeHeight="5536">
            <wp:simplePos x="0" y="0"/>
            <wp:positionH relativeFrom="page">
              <wp:posOffset>979932</wp:posOffset>
            </wp:positionH>
            <wp:positionV relativeFrom="paragraph">
              <wp:posOffset>-9589</wp:posOffset>
            </wp:positionV>
            <wp:extent cx="1478280" cy="612648"/>
            <wp:effectExtent l="0" t="0" r="0" b="0"/>
            <wp:wrapNone/>
            <wp:docPr id="211" name="image8.png" descr=""/>
            <wp:cNvGraphicFramePr>
              <a:graphicFrameLocks noChangeAspect="1"/>
            </wp:cNvGraphicFramePr>
            <a:graphic>
              <a:graphicData uri="http://schemas.openxmlformats.org/drawingml/2006/picture">
                <pic:pic>
                  <pic:nvPicPr>
                    <pic:cNvPr id="212" name="image8.png"/>
                    <pic:cNvPicPr/>
                  </pic:nvPicPr>
                  <pic:blipFill>
                    <a:blip r:embed="rId12" cstate="print"/>
                    <a:stretch>
                      <a:fillRect/>
                    </a:stretch>
                  </pic:blipFill>
                  <pic:spPr>
                    <a:xfrm>
                      <a:off x="0" y="0"/>
                      <a:ext cx="1478280" cy="612648"/>
                    </a:xfrm>
                    <a:prstGeom prst="rect">
                      <a:avLst/>
                    </a:prstGeom>
                  </pic:spPr>
                </pic:pic>
              </a:graphicData>
            </a:graphic>
          </wp:anchor>
        </w:drawing>
      </w:r>
      <w:r>
        <w:rPr>
          <w:color w:val="385522"/>
        </w:rPr>
        <w:t>meio </w:t>
      </w:r>
      <w:r>
        <w:rPr>
          <w:color w:val="385522"/>
          <w:w w:val="95"/>
        </w:rPr>
        <w:t>ambiente</w:t>
      </w:r>
    </w:p>
    <w:p>
      <w:pPr>
        <w:spacing w:before="60"/>
        <w:ind w:left="455" w:right="0" w:firstLine="0"/>
        <w:jc w:val="left"/>
        <w:rPr>
          <w:rFonts w:ascii="Arial" w:hAnsi="Arial"/>
          <w:sz w:val="22"/>
        </w:rPr>
      </w:pPr>
      <w:r>
        <w:rPr/>
        <w:br w:type="column"/>
      </w:r>
      <w:r>
        <w:rPr>
          <w:rFonts w:ascii="Arial" w:hAnsi="Arial"/>
          <w:color w:val="385522"/>
          <w:sz w:val="22"/>
        </w:rPr>
        <w:t>Plano Municipal de Segurança de Barragens-PMSB</w:t>
      </w:r>
    </w:p>
    <w:p>
      <w:pPr>
        <w:spacing w:after="0"/>
        <w:jc w:val="left"/>
        <w:rPr>
          <w:rFonts w:ascii="Arial" w:hAnsi="Arial"/>
          <w:sz w:val="22"/>
        </w:rPr>
        <w:sectPr>
          <w:type w:val="continuous"/>
          <w:pgSz w:w="11910" w:h="16840"/>
          <w:pgMar w:top="0" w:bottom="280" w:left="0" w:right="0"/>
          <w:cols w:num="2" w:equalWidth="0">
            <w:col w:w="5155" w:space="77"/>
            <w:col w:w="6678"/>
          </w:cols>
        </w:sectPr>
      </w:pPr>
    </w:p>
    <w:p>
      <w:pPr>
        <w:pStyle w:val="BodyText"/>
        <w:rPr>
          <w:rFonts w:ascii="Arial"/>
          <w:sz w:val="20"/>
        </w:rPr>
      </w:pPr>
      <w:r>
        <w:rPr/>
        <w:drawing>
          <wp:anchor distT="0" distB="0" distL="0" distR="0" allowOverlap="1" layoutInCell="1" locked="0" behindDoc="0" simplePos="0" relativeHeight="5560">
            <wp:simplePos x="0" y="0"/>
            <wp:positionH relativeFrom="page">
              <wp:posOffset>288925</wp:posOffset>
            </wp:positionH>
            <wp:positionV relativeFrom="page">
              <wp:posOffset>634</wp:posOffset>
            </wp:positionV>
            <wp:extent cx="474344" cy="10691748"/>
            <wp:effectExtent l="0" t="0" r="0" b="0"/>
            <wp:wrapNone/>
            <wp:docPr id="213" name="image9.png" descr=""/>
            <wp:cNvGraphicFramePr>
              <a:graphicFrameLocks noChangeAspect="1"/>
            </wp:cNvGraphicFramePr>
            <a:graphic>
              <a:graphicData uri="http://schemas.openxmlformats.org/drawingml/2006/picture">
                <pic:pic>
                  <pic:nvPicPr>
                    <pic:cNvPr id="214" name="image9.png"/>
                    <pic:cNvPicPr/>
                  </pic:nvPicPr>
                  <pic:blipFill>
                    <a:blip r:embed="rId13" cstate="print"/>
                    <a:stretch>
                      <a:fillRect/>
                    </a:stretch>
                  </pic:blipFill>
                  <pic:spPr>
                    <a:xfrm>
                      <a:off x="0" y="0"/>
                      <a:ext cx="474344" cy="10691748"/>
                    </a:xfrm>
                    <a:prstGeom prst="rect">
                      <a:avLst/>
                    </a:prstGeom>
                  </pic:spPr>
                </pic:pic>
              </a:graphicData>
            </a:graphic>
          </wp:anchor>
        </w:drawing>
      </w:r>
    </w:p>
    <w:p>
      <w:pPr>
        <w:pStyle w:val="BodyText"/>
        <w:rPr>
          <w:rFonts w:ascii="Arial"/>
          <w:sz w:val="20"/>
        </w:rPr>
      </w:pPr>
    </w:p>
    <w:p>
      <w:pPr>
        <w:pStyle w:val="BodyText"/>
        <w:spacing w:before="2" w:after="1"/>
        <w:rPr>
          <w:rFonts w:ascii="Arial"/>
          <w:sz w:val="23"/>
        </w:rPr>
      </w:pPr>
    </w:p>
    <w:tbl>
      <w:tblPr>
        <w:tblW w:w="0" w:type="auto"/>
        <w:jc w:val="left"/>
        <w:tblInd w:w="17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94"/>
        <w:gridCol w:w="6365"/>
        <w:gridCol w:w="1200"/>
      </w:tblGrid>
      <w:tr>
        <w:trPr>
          <w:trHeight w:val="515" w:hRule="atLeast"/>
        </w:trPr>
        <w:tc>
          <w:tcPr>
            <w:tcW w:w="794" w:type="dxa"/>
          </w:tcPr>
          <w:p>
            <w:pPr>
              <w:pStyle w:val="TableParagraph"/>
              <w:rPr>
                <w:sz w:val="24"/>
              </w:rPr>
            </w:pPr>
          </w:p>
        </w:tc>
        <w:tc>
          <w:tcPr>
            <w:tcW w:w="6365" w:type="dxa"/>
          </w:tcPr>
          <w:p>
            <w:pPr>
              <w:pStyle w:val="TableParagraph"/>
              <w:spacing w:line="268" w:lineRule="exact"/>
              <w:ind w:left="108"/>
              <w:rPr>
                <w:i/>
                <w:sz w:val="24"/>
              </w:rPr>
            </w:pPr>
            <w:r>
              <w:rPr>
                <w:i/>
                <w:sz w:val="24"/>
              </w:rPr>
              <w:t>uma mineração moderna e sustentável;</w:t>
            </w:r>
          </w:p>
        </w:tc>
        <w:tc>
          <w:tcPr>
            <w:tcW w:w="1200" w:type="dxa"/>
          </w:tcPr>
          <w:p>
            <w:pPr>
              <w:pStyle w:val="TableParagraph"/>
              <w:rPr>
                <w:sz w:val="24"/>
              </w:rPr>
            </w:pPr>
          </w:p>
        </w:tc>
      </w:tr>
      <w:tr>
        <w:trPr>
          <w:trHeight w:val="1895" w:hRule="atLeast"/>
        </w:trPr>
        <w:tc>
          <w:tcPr>
            <w:tcW w:w="794" w:type="dxa"/>
          </w:tcPr>
          <w:p>
            <w:pPr>
              <w:pStyle w:val="TableParagraph"/>
              <w:rPr>
                <w:rFonts w:ascii="Arial"/>
                <w:sz w:val="26"/>
              </w:rPr>
            </w:pPr>
          </w:p>
          <w:p>
            <w:pPr>
              <w:pStyle w:val="TableParagraph"/>
              <w:spacing w:before="11"/>
              <w:rPr>
                <w:rFonts w:ascii="Arial"/>
                <w:sz w:val="27"/>
              </w:rPr>
            </w:pPr>
          </w:p>
          <w:p>
            <w:pPr>
              <w:pStyle w:val="TableParagraph"/>
              <w:ind w:right="266"/>
              <w:jc w:val="right"/>
              <w:rPr>
                <w:b/>
                <w:i/>
                <w:sz w:val="24"/>
              </w:rPr>
            </w:pPr>
            <w:r>
              <w:rPr>
                <w:b/>
                <w:i/>
                <w:sz w:val="24"/>
              </w:rPr>
              <w:t>10</w:t>
            </w:r>
          </w:p>
        </w:tc>
        <w:tc>
          <w:tcPr>
            <w:tcW w:w="6365" w:type="dxa"/>
          </w:tcPr>
          <w:p>
            <w:pPr>
              <w:pStyle w:val="TableParagraph"/>
              <w:ind w:left="108" w:right="98"/>
              <w:jc w:val="both"/>
              <w:rPr>
                <w:i/>
                <w:sz w:val="24"/>
              </w:rPr>
            </w:pPr>
            <w:r>
              <w:rPr>
                <w:i/>
                <w:sz w:val="24"/>
              </w:rPr>
              <w:t>Regulamentação das exigências e análise das </w:t>
            </w:r>
            <w:r>
              <w:rPr>
                <w:b/>
                <w:i/>
                <w:sz w:val="24"/>
                <w:u w:val="thick"/>
              </w:rPr>
              <w:t>Declarações de</w:t>
            </w:r>
            <w:r>
              <w:rPr>
                <w:b/>
                <w:i/>
                <w:sz w:val="24"/>
              </w:rPr>
              <w:t> </w:t>
            </w:r>
            <w:r>
              <w:rPr>
                <w:b/>
                <w:i/>
                <w:sz w:val="24"/>
                <w:u w:val="thick"/>
              </w:rPr>
              <w:t>Conformidade</w:t>
            </w:r>
            <w:r>
              <w:rPr>
                <w:i/>
                <w:sz w:val="24"/>
              </w:rPr>
              <w:t>, sobretudo para empreendimentos de grande </w:t>
            </w:r>
            <w:r>
              <w:rPr>
                <w:i/>
                <w:sz w:val="24"/>
              </w:rPr>
              <w:t>impacto e danos potenciais associados, levando em conta não somente questões de uso e ocupação do solo, mas também elementos de ordem ambiental, social e as externalidades do empreendimento;</w:t>
            </w:r>
          </w:p>
        </w:tc>
        <w:tc>
          <w:tcPr>
            <w:tcW w:w="1200" w:type="dxa"/>
          </w:tcPr>
          <w:p>
            <w:pPr>
              <w:pStyle w:val="TableParagraph"/>
              <w:rPr>
                <w:rFonts w:ascii="Arial"/>
                <w:sz w:val="26"/>
              </w:rPr>
            </w:pPr>
          </w:p>
          <w:p>
            <w:pPr>
              <w:pStyle w:val="TableParagraph"/>
              <w:spacing w:before="11"/>
              <w:rPr>
                <w:rFonts w:ascii="Arial"/>
                <w:sz w:val="27"/>
              </w:rPr>
            </w:pPr>
          </w:p>
          <w:p>
            <w:pPr>
              <w:pStyle w:val="TableParagraph"/>
              <w:ind w:left="248"/>
              <w:rPr>
                <w:b/>
                <w:i/>
                <w:sz w:val="24"/>
              </w:rPr>
            </w:pPr>
            <w:r>
              <w:rPr>
                <w:b/>
                <w:i/>
                <w:sz w:val="24"/>
              </w:rPr>
              <w:t>30 dias</w:t>
            </w:r>
          </w:p>
        </w:tc>
      </w:tr>
      <w:tr>
        <w:trPr>
          <w:trHeight w:val="1067" w:hRule="atLeast"/>
        </w:trPr>
        <w:tc>
          <w:tcPr>
            <w:tcW w:w="794" w:type="dxa"/>
          </w:tcPr>
          <w:p>
            <w:pPr>
              <w:pStyle w:val="TableParagraph"/>
              <w:spacing w:before="205"/>
              <w:ind w:right="266"/>
              <w:jc w:val="right"/>
              <w:rPr>
                <w:b/>
                <w:i/>
                <w:sz w:val="24"/>
              </w:rPr>
            </w:pPr>
            <w:r>
              <w:rPr>
                <w:b/>
                <w:i/>
                <w:sz w:val="24"/>
              </w:rPr>
              <w:t>11</w:t>
            </w:r>
          </w:p>
        </w:tc>
        <w:tc>
          <w:tcPr>
            <w:tcW w:w="6365" w:type="dxa"/>
          </w:tcPr>
          <w:p>
            <w:pPr>
              <w:pStyle w:val="TableParagraph"/>
              <w:spacing w:line="237" w:lineRule="auto"/>
              <w:ind w:left="108" w:right="97"/>
              <w:jc w:val="both"/>
              <w:rPr>
                <w:i/>
                <w:sz w:val="24"/>
              </w:rPr>
            </w:pPr>
            <w:r>
              <w:rPr>
                <w:b/>
                <w:i/>
                <w:sz w:val="24"/>
                <w:u w:val="thick"/>
              </w:rPr>
              <w:t>Proibir a construção de barragens ou alteamentos de rejeitos</w:t>
            </w:r>
            <w:r>
              <w:rPr>
                <w:b/>
                <w:i/>
                <w:sz w:val="24"/>
              </w:rPr>
              <w:t> </w:t>
            </w:r>
            <w:r>
              <w:rPr>
                <w:b/>
                <w:i/>
                <w:sz w:val="24"/>
                <w:u w:val="thick"/>
              </w:rPr>
              <w:t>úmidos</w:t>
            </w:r>
            <w:r>
              <w:rPr>
                <w:b/>
                <w:i/>
                <w:sz w:val="24"/>
              </w:rPr>
              <w:t> </w:t>
            </w:r>
            <w:r>
              <w:rPr>
                <w:i/>
                <w:sz w:val="24"/>
              </w:rPr>
              <w:t>em áreas urbanas e restringir em áreas rurais cujo </w:t>
            </w:r>
            <w:r>
              <w:rPr>
                <w:i/>
                <w:sz w:val="24"/>
              </w:rPr>
              <w:t>impacto recaia em áreas povoadas;</w:t>
            </w:r>
          </w:p>
        </w:tc>
        <w:tc>
          <w:tcPr>
            <w:tcW w:w="1200" w:type="dxa"/>
          </w:tcPr>
          <w:p>
            <w:pPr>
              <w:pStyle w:val="TableParagraph"/>
              <w:spacing w:before="205"/>
              <w:ind w:left="248"/>
              <w:rPr>
                <w:b/>
                <w:i/>
                <w:sz w:val="24"/>
              </w:rPr>
            </w:pPr>
            <w:r>
              <w:rPr>
                <w:b/>
                <w:i/>
                <w:sz w:val="24"/>
              </w:rPr>
              <w:t>30 dias</w:t>
            </w:r>
          </w:p>
        </w:tc>
      </w:tr>
      <w:tr>
        <w:trPr>
          <w:trHeight w:val="2448" w:hRule="atLeast"/>
        </w:trPr>
        <w:tc>
          <w:tcPr>
            <w:tcW w:w="794" w:type="dxa"/>
          </w:tcPr>
          <w:p>
            <w:pPr>
              <w:pStyle w:val="TableParagraph"/>
              <w:rPr>
                <w:rFonts w:ascii="Arial"/>
                <w:sz w:val="26"/>
              </w:rPr>
            </w:pPr>
          </w:p>
          <w:p>
            <w:pPr>
              <w:pStyle w:val="TableParagraph"/>
              <w:rPr>
                <w:rFonts w:ascii="Arial"/>
                <w:sz w:val="26"/>
              </w:rPr>
            </w:pPr>
          </w:p>
          <w:p>
            <w:pPr>
              <w:pStyle w:val="TableParagraph"/>
              <w:rPr>
                <w:rFonts w:ascii="Arial"/>
                <w:sz w:val="26"/>
              </w:rPr>
            </w:pPr>
          </w:p>
          <w:p>
            <w:pPr>
              <w:pStyle w:val="TableParagraph"/>
              <w:ind w:right="266"/>
              <w:jc w:val="right"/>
              <w:rPr>
                <w:b/>
                <w:i/>
                <w:sz w:val="24"/>
              </w:rPr>
            </w:pPr>
            <w:r>
              <w:rPr>
                <w:b/>
                <w:i/>
                <w:sz w:val="24"/>
              </w:rPr>
              <w:t>12</w:t>
            </w:r>
          </w:p>
        </w:tc>
        <w:tc>
          <w:tcPr>
            <w:tcW w:w="6365" w:type="dxa"/>
          </w:tcPr>
          <w:p>
            <w:pPr>
              <w:pStyle w:val="TableParagraph"/>
              <w:ind w:left="108" w:right="95"/>
              <w:jc w:val="both"/>
              <w:rPr>
                <w:i/>
                <w:sz w:val="24"/>
              </w:rPr>
            </w:pPr>
            <w:r>
              <w:rPr>
                <w:i/>
                <w:sz w:val="24"/>
              </w:rPr>
              <w:t>Criar um </w:t>
            </w:r>
            <w:r>
              <w:rPr>
                <w:sz w:val="24"/>
              </w:rPr>
              <w:t>“</w:t>
            </w:r>
            <w:r>
              <w:rPr>
                <w:b/>
                <w:i/>
                <w:sz w:val="24"/>
                <w:u w:val="thick"/>
              </w:rPr>
              <w:t>Conselho Técnico de Segurança das Barragens</w:t>
            </w:r>
            <w:r>
              <w:rPr>
                <w:sz w:val="24"/>
              </w:rPr>
              <w:t>”</w:t>
            </w:r>
            <w:r>
              <w:rPr>
                <w:i/>
                <w:sz w:val="24"/>
              </w:rPr>
              <w:t>, </w:t>
            </w:r>
            <w:r>
              <w:rPr>
                <w:i/>
                <w:sz w:val="24"/>
              </w:rPr>
              <w:t>composto por notáveis e até ex-funcionários de empresas mineradoras, com conhecimento técnico necessário para análise e acompanhamento dos estudos referentes ao monitoramento e estabilidade das barragens, a fim de realizar inspeções periódicas de no mínimo três vezes ao ano, além de acompanhar as auditorias obrigatórias sobre as condições de estabilidade e/ou sempre que demandada pelo município.</w:t>
            </w:r>
          </w:p>
        </w:tc>
        <w:tc>
          <w:tcPr>
            <w:tcW w:w="1200" w:type="dxa"/>
          </w:tcPr>
          <w:p>
            <w:pPr>
              <w:pStyle w:val="TableParagraph"/>
              <w:rPr>
                <w:rFonts w:ascii="Arial"/>
                <w:sz w:val="26"/>
              </w:rPr>
            </w:pPr>
          </w:p>
          <w:p>
            <w:pPr>
              <w:pStyle w:val="TableParagraph"/>
              <w:rPr>
                <w:rFonts w:ascii="Arial"/>
                <w:sz w:val="26"/>
              </w:rPr>
            </w:pPr>
          </w:p>
          <w:p>
            <w:pPr>
              <w:pStyle w:val="TableParagraph"/>
              <w:rPr>
                <w:rFonts w:ascii="Arial"/>
                <w:sz w:val="26"/>
              </w:rPr>
            </w:pPr>
          </w:p>
          <w:p>
            <w:pPr>
              <w:pStyle w:val="TableParagraph"/>
              <w:ind w:left="188"/>
              <w:rPr>
                <w:b/>
                <w:i/>
                <w:sz w:val="24"/>
              </w:rPr>
            </w:pPr>
            <w:r>
              <w:rPr>
                <w:b/>
                <w:i/>
                <w:sz w:val="24"/>
              </w:rPr>
              <w:t>120 dias</w:t>
            </w:r>
          </w:p>
        </w:tc>
      </w:tr>
    </w:tbl>
    <w:p>
      <w:pPr>
        <w:pStyle w:val="BodyText"/>
        <w:rPr>
          <w:rFonts w:ascii="Arial"/>
          <w:sz w:val="20"/>
        </w:rPr>
      </w:pPr>
    </w:p>
    <w:p>
      <w:pPr>
        <w:pStyle w:val="BodyText"/>
        <w:spacing w:before="7"/>
        <w:rPr>
          <w:rFonts w:ascii="Arial"/>
          <w:sz w:val="28"/>
        </w:rPr>
      </w:pPr>
    </w:p>
    <w:p>
      <w:pPr>
        <w:pStyle w:val="BodyText"/>
        <w:spacing w:line="360" w:lineRule="auto" w:before="90"/>
        <w:ind w:left="1702" w:right="1694" w:firstLine="1418"/>
        <w:jc w:val="both"/>
      </w:pPr>
      <w:r>
        <w:rPr/>
        <w:t>Decerto que, com início e ao longo das ações e trabalhos acima recomendados, outros serão identificados e necessários, oportunidades estas em que certamente deverão ser tomadas as devidas providências, passando a integrar o presente plano, por meio de resolução expedida pela Secretaria Municipal de Meio Ambiente- SEMMA.</w:t>
      </w:r>
    </w:p>
    <w:p>
      <w:pPr>
        <w:pStyle w:val="BodyText"/>
        <w:spacing w:before="9"/>
        <w:rPr>
          <w:sz w:val="20"/>
        </w:rPr>
      </w:pPr>
    </w:p>
    <w:p>
      <w:pPr>
        <w:pStyle w:val="BodyText"/>
        <w:spacing w:before="1"/>
        <w:ind w:left="3120"/>
      </w:pPr>
      <w:r>
        <w:rPr/>
        <w:t>Congonhas 18 de março de 2019.</w:t>
      </w: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Heading4"/>
        <w:spacing w:line="274" w:lineRule="exact" w:before="172"/>
        <w:ind w:left="3120" w:firstLine="0"/>
        <w:rPr>
          <w:i/>
        </w:rPr>
      </w:pPr>
      <w:r>
        <w:rPr/>
        <w:drawing>
          <wp:anchor distT="0" distB="0" distL="0" distR="0" allowOverlap="1" layoutInCell="1" locked="0" behindDoc="1" simplePos="0" relativeHeight="268336367">
            <wp:simplePos x="0" y="0"/>
            <wp:positionH relativeFrom="page">
              <wp:posOffset>1917560</wp:posOffset>
            </wp:positionH>
            <wp:positionV relativeFrom="paragraph">
              <wp:posOffset>-392263</wp:posOffset>
            </wp:positionV>
            <wp:extent cx="1501279" cy="858519"/>
            <wp:effectExtent l="0" t="0" r="0" b="0"/>
            <wp:wrapNone/>
            <wp:docPr id="215" name="image52.jpeg" descr=""/>
            <wp:cNvGraphicFramePr>
              <a:graphicFrameLocks noChangeAspect="1"/>
            </wp:cNvGraphicFramePr>
            <a:graphic>
              <a:graphicData uri="http://schemas.openxmlformats.org/drawingml/2006/picture">
                <pic:pic>
                  <pic:nvPicPr>
                    <pic:cNvPr id="216" name="image52.jpeg"/>
                    <pic:cNvPicPr/>
                  </pic:nvPicPr>
                  <pic:blipFill>
                    <a:blip r:embed="rId63" cstate="print"/>
                    <a:stretch>
                      <a:fillRect/>
                    </a:stretch>
                  </pic:blipFill>
                  <pic:spPr>
                    <a:xfrm>
                      <a:off x="0" y="0"/>
                      <a:ext cx="1501279" cy="858519"/>
                    </a:xfrm>
                    <a:prstGeom prst="rect">
                      <a:avLst/>
                    </a:prstGeom>
                  </pic:spPr>
                </pic:pic>
              </a:graphicData>
            </a:graphic>
          </wp:anchor>
        </w:drawing>
      </w:r>
      <w:r>
        <w:rPr>
          <w:i/>
        </w:rPr>
        <w:t>Neilor Aarão</w:t>
      </w:r>
    </w:p>
    <w:p>
      <w:pPr>
        <w:pStyle w:val="BodyText"/>
        <w:ind w:left="3120" w:right="5937"/>
      </w:pPr>
      <w:r>
        <w:rPr/>
        <w:t>Secretário de Meio Ambiente Prefeitura de Congonhas/MG</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3"/>
        </w:rPr>
      </w:pPr>
      <w:r>
        <w:rPr/>
        <w:pict>
          <v:shape style="position:absolute;margin-left:475.660004pt;margin-top:14.804712pt;width:40.450pt;height:55.95pt;mso-position-horizontal-relative:page;mso-position-vertical-relative:paragraph;z-index:3464;mso-wrap-distance-left:0;mso-wrap-distance-right:0" type="#_x0000_t202" filled="true" fillcolor="#6fac46" stroked="false">
            <v:textbox inset="0,0,0,0">
              <w:txbxContent>
                <w:p>
                  <w:pPr>
                    <w:pStyle w:val="BodyText"/>
                    <w:spacing w:before="10"/>
                    <w:rPr>
                      <w:sz w:val="29"/>
                    </w:rPr>
                  </w:pPr>
                </w:p>
                <w:p>
                  <w:pPr>
                    <w:spacing w:before="0"/>
                    <w:ind w:left="220" w:right="0" w:firstLine="0"/>
                    <w:jc w:val="left"/>
                    <w:rPr>
                      <w:rFonts w:ascii="Arial"/>
                      <w:sz w:val="36"/>
                    </w:rPr>
                  </w:pPr>
                  <w:r>
                    <w:rPr>
                      <w:rFonts w:ascii="Arial"/>
                      <w:color w:val="FFFFFF"/>
                      <w:sz w:val="36"/>
                    </w:rPr>
                    <w:t>46</w:t>
                  </w:r>
                </w:p>
              </w:txbxContent>
            </v:textbox>
            <v:fill type="solid"/>
            <w10:wrap type="topAndBottom"/>
          </v:shape>
        </w:pict>
      </w:r>
    </w:p>
    <w:sectPr>
      <w:type w:val="continuous"/>
      <w:pgSz w:w="11910" w:h="16840"/>
      <w:pgMar w:top="0" w:bottom="280" w:left="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Trebuchet MS">
    <w:altName w:val="Trebuchet MS"/>
    <w:charset w:val="0"/>
    <w:family w:val="swiss"/>
    <w:pitch w:val="variable"/>
  </w:font>
  <w:font w:name="Wingdings">
    <w:altName w:val="Wingdings"/>
    <w:charset w:val="2"/>
    <w:family w:val="auto"/>
    <w:pitch w:val="variable"/>
  </w:font>
  <w:font w:name="Verdana">
    <w:altName w:val="Verdana"/>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multiLevelType w:val="hybridMultilevel"/>
    <w:lvl w:ilvl="0">
      <w:start w:val="1"/>
      <w:numFmt w:val="decimal"/>
      <w:lvlText w:val="%1)"/>
      <w:lvlJc w:val="left"/>
      <w:pPr>
        <w:ind w:left="2767" w:hanging="358"/>
        <w:jc w:val="left"/>
      </w:pPr>
      <w:rPr>
        <w:rFonts w:hint="default" w:ascii="Times New Roman" w:hAnsi="Times New Roman" w:eastAsia="Times New Roman" w:cs="Times New Roman"/>
        <w:i/>
        <w:spacing w:val="-23"/>
        <w:w w:val="99"/>
        <w:sz w:val="24"/>
        <w:szCs w:val="24"/>
        <w:lang w:val="pt-br" w:eastAsia="pt-br" w:bidi="pt-br"/>
      </w:rPr>
    </w:lvl>
    <w:lvl w:ilvl="1">
      <w:start w:val="0"/>
      <w:numFmt w:val="bullet"/>
      <w:lvlText w:val="•"/>
      <w:lvlJc w:val="left"/>
      <w:pPr>
        <w:ind w:left="3674" w:hanging="358"/>
      </w:pPr>
      <w:rPr>
        <w:rFonts w:hint="default"/>
        <w:lang w:val="pt-br" w:eastAsia="pt-br" w:bidi="pt-br"/>
      </w:rPr>
    </w:lvl>
    <w:lvl w:ilvl="2">
      <w:start w:val="0"/>
      <w:numFmt w:val="bullet"/>
      <w:lvlText w:val="•"/>
      <w:lvlJc w:val="left"/>
      <w:pPr>
        <w:ind w:left="4589" w:hanging="358"/>
      </w:pPr>
      <w:rPr>
        <w:rFonts w:hint="default"/>
        <w:lang w:val="pt-br" w:eastAsia="pt-br" w:bidi="pt-br"/>
      </w:rPr>
    </w:lvl>
    <w:lvl w:ilvl="3">
      <w:start w:val="0"/>
      <w:numFmt w:val="bullet"/>
      <w:lvlText w:val="•"/>
      <w:lvlJc w:val="left"/>
      <w:pPr>
        <w:ind w:left="5503" w:hanging="358"/>
      </w:pPr>
      <w:rPr>
        <w:rFonts w:hint="default"/>
        <w:lang w:val="pt-br" w:eastAsia="pt-br" w:bidi="pt-br"/>
      </w:rPr>
    </w:lvl>
    <w:lvl w:ilvl="4">
      <w:start w:val="0"/>
      <w:numFmt w:val="bullet"/>
      <w:lvlText w:val="•"/>
      <w:lvlJc w:val="left"/>
      <w:pPr>
        <w:ind w:left="6418" w:hanging="358"/>
      </w:pPr>
      <w:rPr>
        <w:rFonts w:hint="default"/>
        <w:lang w:val="pt-br" w:eastAsia="pt-br" w:bidi="pt-br"/>
      </w:rPr>
    </w:lvl>
    <w:lvl w:ilvl="5">
      <w:start w:val="0"/>
      <w:numFmt w:val="bullet"/>
      <w:lvlText w:val="•"/>
      <w:lvlJc w:val="left"/>
      <w:pPr>
        <w:ind w:left="7333" w:hanging="358"/>
      </w:pPr>
      <w:rPr>
        <w:rFonts w:hint="default"/>
        <w:lang w:val="pt-br" w:eastAsia="pt-br" w:bidi="pt-br"/>
      </w:rPr>
    </w:lvl>
    <w:lvl w:ilvl="6">
      <w:start w:val="0"/>
      <w:numFmt w:val="bullet"/>
      <w:lvlText w:val="•"/>
      <w:lvlJc w:val="left"/>
      <w:pPr>
        <w:ind w:left="8247" w:hanging="358"/>
      </w:pPr>
      <w:rPr>
        <w:rFonts w:hint="default"/>
        <w:lang w:val="pt-br" w:eastAsia="pt-br" w:bidi="pt-br"/>
      </w:rPr>
    </w:lvl>
    <w:lvl w:ilvl="7">
      <w:start w:val="0"/>
      <w:numFmt w:val="bullet"/>
      <w:lvlText w:val="•"/>
      <w:lvlJc w:val="left"/>
      <w:pPr>
        <w:ind w:left="9162" w:hanging="358"/>
      </w:pPr>
      <w:rPr>
        <w:rFonts w:hint="default"/>
        <w:lang w:val="pt-br" w:eastAsia="pt-br" w:bidi="pt-br"/>
      </w:rPr>
    </w:lvl>
    <w:lvl w:ilvl="8">
      <w:start w:val="0"/>
      <w:numFmt w:val="bullet"/>
      <w:lvlText w:val="•"/>
      <w:lvlJc w:val="left"/>
      <w:pPr>
        <w:ind w:left="10077" w:hanging="358"/>
      </w:pPr>
      <w:rPr>
        <w:rFonts w:hint="default"/>
        <w:lang w:val="pt-br" w:eastAsia="pt-br" w:bidi="pt-br"/>
      </w:rPr>
    </w:lvl>
  </w:abstractNum>
  <w:abstractNum w:abstractNumId="7">
    <w:multiLevelType w:val="hybridMultilevel"/>
    <w:lvl w:ilvl="0">
      <w:start w:val="0"/>
      <w:numFmt w:val="bullet"/>
      <w:lvlText w:val=""/>
      <w:lvlJc w:val="left"/>
      <w:pPr>
        <w:ind w:left="2422" w:hanging="360"/>
      </w:pPr>
      <w:rPr>
        <w:rFonts w:hint="default" w:ascii="Wingdings" w:hAnsi="Wingdings" w:eastAsia="Wingdings" w:cs="Wingdings"/>
        <w:w w:val="100"/>
        <w:sz w:val="36"/>
        <w:szCs w:val="36"/>
        <w:lang w:val="pt-br" w:eastAsia="pt-br" w:bidi="pt-br"/>
      </w:rPr>
    </w:lvl>
    <w:lvl w:ilvl="1">
      <w:start w:val="0"/>
      <w:numFmt w:val="bullet"/>
      <w:lvlText w:val="•"/>
      <w:lvlJc w:val="left"/>
      <w:pPr>
        <w:ind w:left="3368" w:hanging="360"/>
      </w:pPr>
      <w:rPr>
        <w:rFonts w:hint="default"/>
        <w:lang w:val="pt-br" w:eastAsia="pt-br" w:bidi="pt-br"/>
      </w:rPr>
    </w:lvl>
    <w:lvl w:ilvl="2">
      <w:start w:val="0"/>
      <w:numFmt w:val="bullet"/>
      <w:lvlText w:val="•"/>
      <w:lvlJc w:val="left"/>
      <w:pPr>
        <w:ind w:left="4317" w:hanging="360"/>
      </w:pPr>
      <w:rPr>
        <w:rFonts w:hint="default"/>
        <w:lang w:val="pt-br" w:eastAsia="pt-br" w:bidi="pt-br"/>
      </w:rPr>
    </w:lvl>
    <w:lvl w:ilvl="3">
      <w:start w:val="0"/>
      <w:numFmt w:val="bullet"/>
      <w:lvlText w:val="•"/>
      <w:lvlJc w:val="left"/>
      <w:pPr>
        <w:ind w:left="5265" w:hanging="360"/>
      </w:pPr>
      <w:rPr>
        <w:rFonts w:hint="default"/>
        <w:lang w:val="pt-br" w:eastAsia="pt-br" w:bidi="pt-br"/>
      </w:rPr>
    </w:lvl>
    <w:lvl w:ilvl="4">
      <w:start w:val="0"/>
      <w:numFmt w:val="bullet"/>
      <w:lvlText w:val="•"/>
      <w:lvlJc w:val="left"/>
      <w:pPr>
        <w:ind w:left="6214" w:hanging="360"/>
      </w:pPr>
      <w:rPr>
        <w:rFonts w:hint="default"/>
        <w:lang w:val="pt-br" w:eastAsia="pt-br" w:bidi="pt-br"/>
      </w:rPr>
    </w:lvl>
    <w:lvl w:ilvl="5">
      <w:start w:val="0"/>
      <w:numFmt w:val="bullet"/>
      <w:lvlText w:val="•"/>
      <w:lvlJc w:val="left"/>
      <w:pPr>
        <w:ind w:left="7163" w:hanging="360"/>
      </w:pPr>
      <w:rPr>
        <w:rFonts w:hint="default"/>
        <w:lang w:val="pt-br" w:eastAsia="pt-br" w:bidi="pt-br"/>
      </w:rPr>
    </w:lvl>
    <w:lvl w:ilvl="6">
      <w:start w:val="0"/>
      <w:numFmt w:val="bullet"/>
      <w:lvlText w:val="•"/>
      <w:lvlJc w:val="left"/>
      <w:pPr>
        <w:ind w:left="8111" w:hanging="360"/>
      </w:pPr>
      <w:rPr>
        <w:rFonts w:hint="default"/>
        <w:lang w:val="pt-br" w:eastAsia="pt-br" w:bidi="pt-br"/>
      </w:rPr>
    </w:lvl>
    <w:lvl w:ilvl="7">
      <w:start w:val="0"/>
      <w:numFmt w:val="bullet"/>
      <w:lvlText w:val="•"/>
      <w:lvlJc w:val="left"/>
      <w:pPr>
        <w:ind w:left="9060" w:hanging="360"/>
      </w:pPr>
      <w:rPr>
        <w:rFonts w:hint="default"/>
        <w:lang w:val="pt-br" w:eastAsia="pt-br" w:bidi="pt-br"/>
      </w:rPr>
    </w:lvl>
    <w:lvl w:ilvl="8">
      <w:start w:val="0"/>
      <w:numFmt w:val="bullet"/>
      <w:lvlText w:val="•"/>
      <w:lvlJc w:val="left"/>
      <w:pPr>
        <w:ind w:left="10009" w:hanging="360"/>
      </w:pPr>
      <w:rPr>
        <w:rFonts w:hint="default"/>
        <w:lang w:val="pt-br" w:eastAsia="pt-br" w:bidi="pt-br"/>
      </w:rPr>
    </w:lvl>
  </w:abstractNum>
  <w:abstractNum w:abstractNumId="5">
    <w:multiLevelType w:val="hybridMultilevel"/>
    <w:lvl w:ilvl="0">
      <w:start w:val="1"/>
      <w:numFmt w:val="lowerRoman"/>
      <w:lvlText w:val="%1)"/>
      <w:lvlJc w:val="left"/>
      <w:pPr>
        <w:ind w:left="2782" w:hanging="720"/>
        <w:jc w:val="left"/>
      </w:pPr>
      <w:rPr>
        <w:rFonts w:hint="default" w:ascii="Times New Roman" w:hAnsi="Times New Roman" w:eastAsia="Times New Roman" w:cs="Times New Roman"/>
        <w:spacing w:val="-28"/>
        <w:w w:val="99"/>
        <w:sz w:val="24"/>
        <w:szCs w:val="24"/>
        <w:lang w:val="pt-br" w:eastAsia="pt-br" w:bidi="pt-br"/>
      </w:rPr>
    </w:lvl>
    <w:lvl w:ilvl="1">
      <w:start w:val="0"/>
      <w:numFmt w:val="bullet"/>
      <w:lvlText w:val="•"/>
      <w:lvlJc w:val="left"/>
      <w:pPr>
        <w:ind w:left="3692" w:hanging="720"/>
      </w:pPr>
      <w:rPr>
        <w:rFonts w:hint="default"/>
        <w:lang w:val="pt-br" w:eastAsia="pt-br" w:bidi="pt-br"/>
      </w:rPr>
    </w:lvl>
    <w:lvl w:ilvl="2">
      <w:start w:val="0"/>
      <w:numFmt w:val="bullet"/>
      <w:lvlText w:val="•"/>
      <w:lvlJc w:val="left"/>
      <w:pPr>
        <w:ind w:left="4605" w:hanging="720"/>
      </w:pPr>
      <w:rPr>
        <w:rFonts w:hint="default"/>
        <w:lang w:val="pt-br" w:eastAsia="pt-br" w:bidi="pt-br"/>
      </w:rPr>
    </w:lvl>
    <w:lvl w:ilvl="3">
      <w:start w:val="0"/>
      <w:numFmt w:val="bullet"/>
      <w:lvlText w:val="•"/>
      <w:lvlJc w:val="left"/>
      <w:pPr>
        <w:ind w:left="5517" w:hanging="720"/>
      </w:pPr>
      <w:rPr>
        <w:rFonts w:hint="default"/>
        <w:lang w:val="pt-br" w:eastAsia="pt-br" w:bidi="pt-br"/>
      </w:rPr>
    </w:lvl>
    <w:lvl w:ilvl="4">
      <w:start w:val="0"/>
      <w:numFmt w:val="bullet"/>
      <w:lvlText w:val="•"/>
      <w:lvlJc w:val="left"/>
      <w:pPr>
        <w:ind w:left="6430" w:hanging="720"/>
      </w:pPr>
      <w:rPr>
        <w:rFonts w:hint="default"/>
        <w:lang w:val="pt-br" w:eastAsia="pt-br" w:bidi="pt-br"/>
      </w:rPr>
    </w:lvl>
    <w:lvl w:ilvl="5">
      <w:start w:val="0"/>
      <w:numFmt w:val="bullet"/>
      <w:lvlText w:val="•"/>
      <w:lvlJc w:val="left"/>
      <w:pPr>
        <w:ind w:left="7343" w:hanging="720"/>
      </w:pPr>
      <w:rPr>
        <w:rFonts w:hint="default"/>
        <w:lang w:val="pt-br" w:eastAsia="pt-br" w:bidi="pt-br"/>
      </w:rPr>
    </w:lvl>
    <w:lvl w:ilvl="6">
      <w:start w:val="0"/>
      <w:numFmt w:val="bullet"/>
      <w:lvlText w:val="•"/>
      <w:lvlJc w:val="left"/>
      <w:pPr>
        <w:ind w:left="8255" w:hanging="720"/>
      </w:pPr>
      <w:rPr>
        <w:rFonts w:hint="default"/>
        <w:lang w:val="pt-br" w:eastAsia="pt-br" w:bidi="pt-br"/>
      </w:rPr>
    </w:lvl>
    <w:lvl w:ilvl="7">
      <w:start w:val="0"/>
      <w:numFmt w:val="bullet"/>
      <w:lvlText w:val="•"/>
      <w:lvlJc w:val="left"/>
      <w:pPr>
        <w:ind w:left="9168" w:hanging="720"/>
      </w:pPr>
      <w:rPr>
        <w:rFonts w:hint="default"/>
        <w:lang w:val="pt-br" w:eastAsia="pt-br" w:bidi="pt-br"/>
      </w:rPr>
    </w:lvl>
    <w:lvl w:ilvl="8">
      <w:start w:val="0"/>
      <w:numFmt w:val="bullet"/>
      <w:lvlText w:val="•"/>
      <w:lvlJc w:val="left"/>
      <w:pPr>
        <w:ind w:left="10081" w:hanging="720"/>
      </w:pPr>
      <w:rPr>
        <w:rFonts w:hint="default"/>
        <w:lang w:val="pt-br" w:eastAsia="pt-br" w:bidi="pt-br"/>
      </w:rPr>
    </w:lvl>
  </w:abstractNum>
  <w:abstractNum w:abstractNumId="4">
    <w:multiLevelType w:val="hybridMultilevel"/>
    <w:lvl w:ilvl="0">
      <w:start w:val="1"/>
      <w:numFmt w:val="lowerRoman"/>
      <w:lvlText w:val="(%1)"/>
      <w:lvlJc w:val="left"/>
      <w:pPr>
        <w:ind w:left="2782" w:hanging="720"/>
        <w:jc w:val="left"/>
      </w:pPr>
      <w:rPr>
        <w:rFonts w:hint="default" w:ascii="Times New Roman" w:hAnsi="Times New Roman" w:eastAsia="Times New Roman" w:cs="Times New Roman"/>
        <w:spacing w:val="-2"/>
        <w:w w:val="99"/>
        <w:sz w:val="24"/>
        <w:szCs w:val="24"/>
        <w:lang w:val="pt-br" w:eastAsia="pt-br" w:bidi="pt-br"/>
      </w:rPr>
    </w:lvl>
    <w:lvl w:ilvl="1">
      <w:start w:val="0"/>
      <w:numFmt w:val="bullet"/>
      <w:lvlText w:val="•"/>
      <w:lvlJc w:val="left"/>
      <w:pPr>
        <w:ind w:left="3692" w:hanging="720"/>
      </w:pPr>
      <w:rPr>
        <w:rFonts w:hint="default"/>
        <w:lang w:val="pt-br" w:eastAsia="pt-br" w:bidi="pt-br"/>
      </w:rPr>
    </w:lvl>
    <w:lvl w:ilvl="2">
      <w:start w:val="0"/>
      <w:numFmt w:val="bullet"/>
      <w:lvlText w:val="•"/>
      <w:lvlJc w:val="left"/>
      <w:pPr>
        <w:ind w:left="4605" w:hanging="720"/>
      </w:pPr>
      <w:rPr>
        <w:rFonts w:hint="default"/>
        <w:lang w:val="pt-br" w:eastAsia="pt-br" w:bidi="pt-br"/>
      </w:rPr>
    </w:lvl>
    <w:lvl w:ilvl="3">
      <w:start w:val="0"/>
      <w:numFmt w:val="bullet"/>
      <w:lvlText w:val="•"/>
      <w:lvlJc w:val="left"/>
      <w:pPr>
        <w:ind w:left="5517" w:hanging="720"/>
      </w:pPr>
      <w:rPr>
        <w:rFonts w:hint="default"/>
        <w:lang w:val="pt-br" w:eastAsia="pt-br" w:bidi="pt-br"/>
      </w:rPr>
    </w:lvl>
    <w:lvl w:ilvl="4">
      <w:start w:val="0"/>
      <w:numFmt w:val="bullet"/>
      <w:lvlText w:val="•"/>
      <w:lvlJc w:val="left"/>
      <w:pPr>
        <w:ind w:left="6430" w:hanging="720"/>
      </w:pPr>
      <w:rPr>
        <w:rFonts w:hint="default"/>
        <w:lang w:val="pt-br" w:eastAsia="pt-br" w:bidi="pt-br"/>
      </w:rPr>
    </w:lvl>
    <w:lvl w:ilvl="5">
      <w:start w:val="0"/>
      <w:numFmt w:val="bullet"/>
      <w:lvlText w:val="•"/>
      <w:lvlJc w:val="left"/>
      <w:pPr>
        <w:ind w:left="7343" w:hanging="720"/>
      </w:pPr>
      <w:rPr>
        <w:rFonts w:hint="default"/>
        <w:lang w:val="pt-br" w:eastAsia="pt-br" w:bidi="pt-br"/>
      </w:rPr>
    </w:lvl>
    <w:lvl w:ilvl="6">
      <w:start w:val="0"/>
      <w:numFmt w:val="bullet"/>
      <w:lvlText w:val="•"/>
      <w:lvlJc w:val="left"/>
      <w:pPr>
        <w:ind w:left="8255" w:hanging="720"/>
      </w:pPr>
      <w:rPr>
        <w:rFonts w:hint="default"/>
        <w:lang w:val="pt-br" w:eastAsia="pt-br" w:bidi="pt-br"/>
      </w:rPr>
    </w:lvl>
    <w:lvl w:ilvl="7">
      <w:start w:val="0"/>
      <w:numFmt w:val="bullet"/>
      <w:lvlText w:val="•"/>
      <w:lvlJc w:val="left"/>
      <w:pPr>
        <w:ind w:left="9168" w:hanging="720"/>
      </w:pPr>
      <w:rPr>
        <w:rFonts w:hint="default"/>
        <w:lang w:val="pt-br" w:eastAsia="pt-br" w:bidi="pt-br"/>
      </w:rPr>
    </w:lvl>
    <w:lvl w:ilvl="8">
      <w:start w:val="0"/>
      <w:numFmt w:val="bullet"/>
      <w:lvlText w:val="•"/>
      <w:lvlJc w:val="left"/>
      <w:pPr>
        <w:ind w:left="10081" w:hanging="720"/>
      </w:pPr>
      <w:rPr>
        <w:rFonts w:hint="default"/>
        <w:lang w:val="pt-br" w:eastAsia="pt-br" w:bidi="pt-br"/>
      </w:rPr>
    </w:lvl>
  </w:abstractNum>
  <w:abstractNum w:abstractNumId="3">
    <w:multiLevelType w:val="hybridMultilevel"/>
    <w:lvl w:ilvl="0">
      <w:start w:val="1"/>
      <w:numFmt w:val="decimal"/>
      <w:lvlText w:val="%1)"/>
      <w:lvlJc w:val="left"/>
      <w:pPr>
        <w:ind w:left="3374" w:hanging="257"/>
        <w:jc w:val="left"/>
      </w:pPr>
      <w:rPr>
        <w:rFonts w:hint="default" w:ascii="Times New Roman" w:hAnsi="Times New Roman" w:eastAsia="Times New Roman" w:cs="Times New Roman"/>
        <w:i/>
        <w:w w:val="99"/>
        <w:sz w:val="24"/>
        <w:szCs w:val="24"/>
        <w:lang w:val="pt-br" w:eastAsia="pt-br" w:bidi="pt-br"/>
      </w:rPr>
    </w:lvl>
    <w:lvl w:ilvl="1">
      <w:start w:val="0"/>
      <w:numFmt w:val="bullet"/>
      <w:lvlText w:val="•"/>
      <w:lvlJc w:val="left"/>
      <w:pPr>
        <w:ind w:left="4232" w:hanging="257"/>
      </w:pPr>
      <w:rPr>
        <w:rFonts w:hint="default"/>
        <w:lang w:val="pt-br" w:eastAsia="pt-br" w:bidi="pt-br"/>
      </w:rPr>
    </w:lvl>
    <w:lvl w:ilvl="2">
      <w:start w:val="0"/>
      <w:numFmt w:val="bullet"/>
      <w:lvlText w:val="•"/>
      <w:lvlJc w:val="left"/>
      <w:pPr>
        <w:ind w:left="5085" w:hanging="257"/>
      </w:pPr>
      <w:rPr>
        <w:rFonts w:hint="default"/>
        <w:lang w:val="pt-br" w:eastAsia="pt-br" w:bidi="pt-br"/>
      </w:rPr>
    </w:lvl>
    <w:lvl w:ilvl="3">
      <w:start w:val="0"/>
      <w:numFmt w:val="bullet"/>
      <w:lvlText w:val="•"/>
      <w:lvlJc w:val="left"/>
      <w:pPr>
        <w:ind w:left="5937" w:hanging="257"/>
      </w:pPr>
      <w:rPr>
        <w:rFonts w:hint="default"/>
        <w:lang w:val="pt-br" w:eastAsia="pt-br" w:bidi="pt-br"/>
      </w:rPr>
    </w:lvl>
    <w:lvl w:ilvl="4">
      <w:start w:val="0"/>
      <w:numFmt w:val="bullet"/>
      <w:lvlText w:val="•"/>
      <w:lvlJc w:val="left"/>
      <w:pPr>
        <w:ind w:left="6790" w:hanging="257"/>
      </w:pPr>
      <w:rPr>
        <w:rFonts w:hint="default"/>
        <w:lang w:val="pt-br" w:eastAsia="pt-br" w:bidi="pt-br"/>
      </w:rPr>
    </w:lvl>
    <w:lvl w:ilvl="5">
      <w:start w:val="0"/>
      <w:numFmt w:val="bullet"/>
      <w:lvlText w:val="•"/>
      <w:lvlJc w:val="left"/>
      <w:pPr>
        <w:ind w:left="7643" w:hanging="257"/>
      </w:pPr>
      <w:rPr>
        <w:rFonts w:hint="default"/>
        <w:lang w:val="pt-br" w:eastAsia="pt-br" w:bidi="pt-br"/>
      </w:rPr>
    </w:lvl>
    <w:lvl w:ilvl="6">
      <w:start w:val="0"/>
      <w:numFmt w:val="bullet"/>
      <w:lvlText w:val="•"/>
      <w:lvlJc w:val="left"/>
      <w:pPr>
        <w:ind w:left="8495" w:hanging="257"/>
      </w:pPr>
      <w:rPr>
        <w:rFonts w:hint="default"/>
        <w:lang w:val="pt-br" w:eastAsia="pt-br" w:bidi="pt-br"/>
      </w:rPr>
    </w:lvl>
    <w:lvl w:ilvl="7">
      <w:start w:val="0"/>
      <w:numFmt w:val="bullet"/>
      <w:lvlText w:val="•"/>
      <w:lvlJc w:val="left"/>
      <w:pPr>
        <w:ind w:left="9348" w:hanging="257"/>
      </w:pPr>
      <w:rPr>
        <w:rFonts w:hint="default"/>
        <w:lang w:val="pt-br" w:eastAsia="pt-br" w:bidi="pt-br"/>
      </w:rPr>
    </w:lvl>
    <w:lvl w:ilvl="8">
      <w:start w:val="0"/>
      <w:numFmt w:val="bullet"/>
      <w:lvlText w:val="•"/>
      <w:lvlJc w:val="left"/>
      <w:pPr>
        <w:ind w:left="10201" w:hanging="257"/>
      </w:pPr>
      <w:rPr>
        <w:rFonts w:hint="default"/>
        <w:lang w:val="pt-br" w:eastAsia="pt-br" w:bidi="pt-br"/>
      </w:rPr>
    </w:lvl>
  </w:abstractNum>
  <w:abstractNum w:abstractNumId="2">
    <w:multiLevelType w:val="hybridMultilevel"/>
    <w:lvl w:ilvl="0">
      <w:start w:val="3"/>
      <w:numFmt w:val="decimal"/>
      <w:lvlText w:val="%1"/>
      <w:lvlJc w:val="left"/>
      <w:pPr>
        <w:ind w:left="2784" w:hanging="375"/>
        <w:jc w:val="left"/>
      </w:pPr>
      <w:rPr>
        <w:rFonts w:hint="default"/>
        <w:lang w:val="pt-br" w:eastAsia="pt-br" w:bidi="pt-br"/>
      </w:rPr>
    </w:lvl>
    <w:lvl w:ilvl="1">
      <w:start w:val="1"/>
      <w:numFmt w:val="decimal"/>
      <w:lvlText w:val="%1.%2"/>
      <w:lvlJc w:val="left"/>
      <w:pPr>
        <w:ind w:left="2784" w:hanging="375"/>
        <w:jc w:val="left"/>
      </w:pPr>
      <w:rPr>
        <w:rFonts w:hint="default" w:ascii="Times New Roman" w:hAnsi="Times New Roman" w:eastAsia="Times New Roman" w:cs="Times New Roman"/>
        <w:b/>
        <w:bCs/>
        <w:w w:val="99"/>
        <w:sz w:val="26"/>
        <w:szCs w:val="26"/>
        <w:lang w:val="pt-br" w:eastAsia="pt-br" w:bidi="pt-br"/>
      </w:rPr>
    </w:lvl>
    <w:lvl w:ilvl="2">
      <w:start w:val="0"/>
      <w:numFmt w:val="bullet"/>
      <w:lvlText w:val=""/>
      <w:lvlJc w:val="left"/>
      <w:pPr>
        <w:ind w:left="3125" w:hanging="358"/>
      </w:pPr>
      <w:rPr>
        <w:rFonts w:hint="default" w:ascii="Wingdings" w:hAnsi="Wingdings" w:eastAsia="Wingdings" w:cs="Wingdings"/>
        <w:w w:val="100"/>
        <w:sz w:val="24"/>
        <w:szCs w:val="24"/>
        <w:lang w:val="pt-br" w:eastAsia="pt-br" w:bidi="pt-br"/>
      </w:rPr>
    </w:lvl>
    <w:lvl w:ilvl="3">
      <w:start w:val="0"/>
      <w:numFmt w:val="bullet"/>
      <w:lvlText w:val="•"/>
      <w:lvlJc w:val="left"/>
      <w:pPr>
        <w:ind w:left="5072" w:hanging="358"/>
      </w:pPr>
      <w:rPr>
        <w:rFonts w:hint="default"/>
        <w:lang w:val="pt-br" w:eastAsia="pt-br" w:bidi="pt-br"/>
      </w:rPr>
    </w:lvl>
    <w:lvl w:ilvl="4">
      <w:start w:val="0"/>
      <w:numFmt w:val="bullet"/>
      <w:lvlText w:val="•"/>
      <w:lvlJc w:val="left"/>
      <w:pPr>
        <w:ind w:left="6048" w:hanging="358"/>
      </w:pPr>
      <w:rPr>
        <w:rFonts w:hint="default"/>
        <w:lang w:val="pt-br" w:eastAsia="pt-br" w:bidi="pt-br"/>
      </w:rPr>
    </w:lvl>
    <w:lvl w:ilvl="5">
      <w:start w:val="0"/>
      <w:numFmt w:val="bullet"/>
      <w:lvlText w:val="•"/>
      <w:lvlJc w:val="left"/>
      <w:pPr>
        <w:ind w:left="7025" w:hanging="358"/>
      </w:pPr>
      <w:rPr>
        <w:rFonts w:hint="default"/>
        <w:lang w:val="pt-br" w:eastAsia="pt-br" w:bidi="pt-br"/>
      </w:rPr>
    </w:lvl>
    <w:lvl w:ilvl="6">
      <w:start w:val="0"/>
      <w:numFmt w:val="bullet"/>
      <w:lvlText w:val="•"/>
      <w:lvlJc w:val="left"/>
      <w:pPr>
        <w:ind w:left="8001" w:hanging="358"/>
      </w:pPr>
      <w:rPr>
        <w:rFonts w:hint="default"/>
        <w:lang w:val="pt-br" w:eastAsia="pt-br" w:bidi="pt-br"/>
      </w:rPr>
    </w:lvl>
    <w:lvl w:ilvl="7">
      <w:start w:val="0"/>
      <w:numFmt w:val="bullet"/>
      <w:lvlText w:val="•"/>
      <w:lvlJc w:val="left"/>
      <w:pPr>
        <w:ind w:left="8977" w:hanging="358"/>
      </w:pPr>
      <w:rPr>
        <w:rFonts w:hint="default"/>
        <w:lang w:val="pt-br" w:eastAsia="pt-br" w:bidi="pt-br"/>
      </w:rPr>
    </w:lvl>
    <w:lvl w:ilvl="8">
      <w:start w:val="0"/>
      <w:numFmt w:val="bullet"/>
      <w:lvlText w:val="•"/>
      <w:lvlJc w:val="left"/>
      <w:pPr>
        <w:ind w:left="9953" w:hanging="358"/>
      </w:pPr>
      <w:rPr>
        <w:rFonts w:hint="default"/>
        <w:lang w:val="pt-br" w:eastAsia="pt-br" w:bidi="pt-br"/>
      </w:rPr>
    </w:lvl>
  </w:abstractNum>
  <w:abstractNum w:abstractNumId="1">
    <w:multiLevelType w:val="hybridMultilevel"/>
    <w:lvl w:ilvl="0">
      <w:start w:val="1"/>
      <w:numFmt w:val="decimal"/>
      <w:lvlText w:val="%1."/>
      <w:lvlJc w:val="left"/>
      <w:pPr>
        <w:ind w:left="2345" w:hanging="360"/>
        <w:jc w:val="left"/>
      </w:pPr>
      <w:rPr>
        <w:rFonts w:hint="default" w:ascii="Times New Roman" w:hAnsi="Times New Roman" w:eastAsia="Times New Roman" w:cs="Times New Roman"/>
        <w:b/>
        <w:bCs/>
        <w:spacing w:val="-1"/>
        <w:w w:val="99"/>
        <w:sz w:val="24"/>
        <w:szCs w:val="24"/>
        <w:lang w:val="pt-br" w:eastAsia="pt-br" w:bidi="pt-br"/>
      </w:rPr>
    </w:lvl>
    <w:lvl w:ilvl="1">
      <w:start w:val="0"/>
      <w:numFmt w:val="bullet"/>
      <w:lvlText w:val="•"/>
      <w:lvlJc w:val="left"/>
      <w:pPr>
        <w:ind w:left="3142" w:hanging="360"/>
      </w:pPr>
      <w:rPr>
        <w:rFonts w:hint="default" w:ascii="Arial" w:hAnsi="Arial" w:eastAsia="Arial" w:cs="Arial"/>
        <w:spacing w:val="-2"/>
        <w:w w:val="99"/>
        <w:sz w:val="24"/>
        <w:szCs w:val="24"/>
        <w:lang w:val="pt-br" w:eastAsia="pt-br" w:bidi="pt-br"/>
      </w:rPr>
    </w:lvl>
    <w:lvl w:ilvl="2">
      <w:start w:val="0"/>
      <w:numFmt w:val="bullet"/>
      <w:lvlText w:val="•"/>
      <w:lvlJc w:val="left"/>
      <w:pPr>
        <w:ind w:left="4114" w:hanging="360"/>
      </w:pPr>
      <w:rPr>
        <w:rFonts w:hint="default"/>
        <w:lang w:val="pt-br" w:eastAsia="pt-br" w:bidi="pt-br"/>
      </w:rPr>
    </w:lvl>
    <w:lvl w:ilvl="3">
      <w:start w:val="0"/>
      <w:numFmt w:val="bullet"/>
      <w:lvlText w:val="•"/>
      <w:lvlJc w:val="left"/>
      <w:pPr>
        <w:ind w:left="5088" w:hanging="360"/>
      </w:pPr>
      <w:rPr>
        <w:rFonts w:hint="default"/>
        <w:lang w:val="pt-br" w:eastAsia="pt-br" w:bidi="pt-br"/>
      </w:rPr>
    </w:lvl>
    <w:lvl w:ilvl="4">
      <w:start w:val="0"/>
      <w:numFmt w:val="bullet"/>
      <w:lvlText w:val="•"/>
      <w:lvlJc w:val="left"/>
      <w:pPr>
        <w:ind w:left="6062" w:hanging="360"/>
      </w:pPr>
      <w:rPr>
        <w:rFonts w:hint="default"/>
        <w:lang w:val="pt-br" w:eastAsia="pt-br" w:bidi="pt-br"/>
      </w:rPr>
    </w:lvl>
    <w:lvl w:ilvl="5">
      <w:start w:val="0"/>
      <w:numFmt w:val="bullet"/>
      <w:lvlText w:val="•"/>
      <w:lvlJc w:val="left"/>
      <w:pPr>
        <w:ind w:left="7036" w:hanging="360"/>
      </w:pPr>
      <w:rPr>
        <w:rFonts w:hint="default"/>
        <w:lang w:val="pt-br" w:eastAsia="pt-br" w:bidi="pt-br"/>
      </w:rPr>
    </w:lvl>
    <w:lvl w:ilvl="6">
      <w:start w:val="0"/>
      <w:numFmt w:val="bullet"/>
      <w:lvlText w:val="•"/>
      <w:lvlJc w:val="left"/>
      <w:pPr>
        <w:ind w:left="8010" w:hanging="360"/>
      </w:pPr>
      <w:rPr>
        <w:rFonts w:hint="default"/>
        <w:lang w:val="pt-br" w:eastAsia="pt-br" w:bidi="pt-br"/>
      </w:rPr>
    </w:lvl>
    <w:lvl w:ilvl="7">
      <w:start w:val="0"/>
      <w:numFmt w:val="bullet"/>
      <w:lvlText w:val="•"/>
      <w:lvlJc w:val="left"/>
      <w:pPr>
        <w:ind w:left="8984" w:hanging="360"/>
      </w:pPr>
      <w:rPr>
        <w:rFonts w:hint="default"/>
        <w:lang w:val="pt-br" w:eastAsia="pt-br" w:bidi="pt-br"/>
      </w:rPr>
    </w:lvl>
    <w:lvl w:ilvl="8">
      <w:start w:val="0"/>
      <w:numFmt w:val="bullet"/>
      <w:lvlText w:val="•"/>
      <w:lvlJc w:val="left"/>
      <w:pPr>
        <w:ind w:left="9958" w:hanging="360"/>
      </w:pPr>
      <w:rPr>
        <w:rFonts w:hint="default"/>
        <w:lang w:val="pt-br" w:eastAsia="pt-br" w:bidi="pt-br"/>
      </w:rPr>
    </w:lvl>
  </w:abstractNum>
  <w:abstractNum w:abstractNumId="0">
    <w:multiLevelType w:val="hybridMultilevel"/>
    <w:lvl w:ilvl="0">
      <w:start w:val="1"/>
      <w:numFmt w:val="decimal"/>
      <w:lvlText w:val="%1."/>
      <w:lvlJc w:val="left"/>
      <w:pPr>
        <w:ind w:left="2129" w:hanging="428"/>
        <w:jc w:val="left"/>
      </w:pPr>
      <w:rPr>
        <w:rFonts w:hint="default" w:ascii="Times New Roman" w:hAnsi="Times New Roman" w:eastAsia="Times New Roman" w:cs="Times New Roman"/>
        <w:w w:val="100"/>
        <w:sz w:val="22"/>
        <w:szCs w:val="22"/>
        <w:lang w:val="pt-br" w:eastAsia="pt-br" w:bidi="pt-br"/>
      </w:rPr>
    </w:lvl>
    <w:lvl w:ilvl="1">
      <w:start w:val="1"/>
      <w:numFmt w:val="decimal"/>
      <w:lvlText w:val="%1.%2"/>
      <w:lvlJc w:val="left"/>
      <w:pPr>
        <w:ind w:left="2268" w:hanging="346"/>
        <w:jc w:val="left"/>
      </w:pPr>
      <w:rPr>
        <w:rFonts w:hint="default" w:ascii="Times New Roman" w:hAnsi="Times New Roman" w:eastAsia="Times New Roman" w:cs="Times New Roman"/>
        <w:w w:val="100"/>
        <w:sz w:val="22"/>
        <w:szCs w:val="22"/>
        <w:lang w:val="pt-br" w:eastAsia="pt-br" w:bidi="pt-br"/>
      </w:rPr>
    </w:lvl>
    <w:lvl w:ilvl="2">
      <w:start w:val="0"/>
      <w:numFmt w:val="bullet"/>
      <w:lvlText w:val="•"/>
      <w:lvlJc w:val="left"/>
      <w:pPr>
        <w:ind w:left="3331" w:hanging="346"/>
      </w:pPr>
      <w:rPr>
        <w:rFonts w:hint="default"/>
        <w:lang w:val="pt-br" w:eastAsia="pt-br" w:bidi="pt-br"/>
      </w:rPr>
    </w:lvl>
    <w:lvl w:ilvl="3">
      <w:start w:val="0"/>
      <w:numFmt w:val="bullet"/>
      <w:lvlText w:val="•"/>
      <w:lvlJc w:val="left"/>
      <w:pPr>
        <w:ind w:left="4403" w:hanging="346"/>
      </w:pPr>
      <w:rPr>
        <w:rFonts w:hint="default"/>
        <w:lang w:val="pt-br" w:eastAsia="pt-br" w:bidi="pt-br"/>
      </w:rPr>
    </w:lvl>
    <w:lvl w:ilvl="4">
      <w:start w:val="0"/>
      <w:numFmt w:val="bullet"/>
      <w:lvlText w:val="•"/>
      <w:lvlJc w:val="left"/>
      <w:pPr>
        <w:ind w:left="5475" w:hanging="346"/>
      </w:pPr>
      <w:rPr>
        <w:rFonts w:hint="default"/>
        <w:lang w:val="pt-br" w:eastAsia="pt-br" w:bidi="pt-br"/>
      </w:rPr>
    </w:lvl>
    <w:lvl w:ilvl="5">
      <w:start w:val="0"/>
      <w:numFmt w:val="bullet"/>
      <w:lvlText w:val="•"/>
      <w:lvlJc w:val="left"/>
      <w:pPr>
        <w:ind w:left="6547" w:hanging="346"/>
      </w:pPr>
      <w:rPr>
        <w:rFonts w:hint="default"/>
        <w:lang w:val="pt-br" w:eastAsia="pt-br" w:bidi="pt-br"/>
      </w:rPr>
    </w:lvl>
    <w:lvl w:ilvl="6">
      <w:start w:val="0"/>
      <w:numFmt w:val="bullet"/>
      <w:lvlText w:val="•"/>
      <w:lvlJc w:val="left"/>
      <w:pPr>
        <w:ind w:left="7619" w:hanging="346"/>
      </w:pPr>
      <w:rPr>
        <w:rFonts w:hint="default"/>
        <w:lang w:val="pt-br" w:eastAsia="pt-br" w:bidi="pt-br"/>
      </w:rPr>
    </w:lvl>
    <w:lvl w:ilvl="7">
      <w:start w:val="0"/>
      <w:numFmt w:val="bullet"/>
      <w:lvlText w:val="•"/>
      <w:lvlJc w:val="left"/>
      <w:pPr>
        <w:ind w:left="8690" w:hanging="346"/>
      </w:pPr>
      <w:rPr>
        <w:rFonts w:hint="default"/>
        <w:lang w:val="pt-br" w:eastAsia="pt-br" w:bidi="pt-br"/>
      </w:rPr>
    </w:lvl>
    <w:lvl w:ilvl="8">
      <w:start w:val="0"/>
      <w:numFmt w:val="bullet"/>
      <w:lvlText w:val="•"/>
      <w:lvlJc w:val="left"/>
      <w:pPr>
        <w:ind w:left="9762" w:hanging="346"/>
      </w:pPr>
      <w:rPr>
        <w:rFonts w:hint="default"/>
        <w:lang w:val="pt-br" w:eastAsia="pt-br" w:bidi="pt-br"/>
      </w:rPr>
    </w:lvl>
  </w:abstractNum>
  <w:num w:numId="7">
    <w:abstractNumId w:val="6"/>
  </w:num>
  <w:num w:numId="8">
    <w:abstractNumId w:val="7"/>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pt-br" w:eastAsia="pt-br" w:bidi="pt-br"/>
    </w:rPr>
  </w:style>
  <w:style w:styleId="TOC1" w:type="paragraph">
    <w:name w:val="TOC 1"/>
    <w:basedOn w:val="Normal"/>
    <w:uiPriority w:val="1"/>
    <w:qFormat/>
    <w:pPr>
      <w:spacing w:before="119"/>
      <w:ind w:left="2129" w:hanging="427"/>
    </w:pPr>
    <w:rPr>
      <w:rFonts w:ascii="Times New Roman" w:hAnsi="Times New Roman" w:eastAsia="Times New Roman" w:cs="Times New Roman"/>
      <w:sz w:val="22"/>
      <w:szCs w:val="22"/>
      <w:lang w:val="pt-br" w:eastAsia="pt-br" w:bidi="pt-br"/>
    </w:rPr>
  </w:style>
  <w:style w:styleId="TOC2" w:type="paragraph">
    <w:name w:val="TOC 2"/>
    <w:basedOn w:val="Normal"/>
    <w:uiPriority w:val="1"/>
    <w:qFormat/>
    <w:pPr>
      <w:spacing w:before="119"/>
      <w:ind w:left="2254" w:hanging="346"/>
    </w:pPr>
    <w:rPr>
      <w:rFonts w:ascii="Times New Roman" w:hAnsi="Times New Roman" w:eastAsia="Times New Roman" w:cs="Times New Roman"/>
      <w:sz w:val="22"/>
      <w:szCs w:val="22"/>
      <w:lang w:val="pt-br" w:eastAsia="pt-br" w:bidi="pt-br"/>
    </w:rPr>
  </w:style>
  <w:style w:styleId="BodyText" w:type="paragraph">
    <w:name w:val="Body Text"/>
    <w:basedOn w:val="Normal"/>
    <w:uiPriority w:val="1"/>
    <w:qFormat/>
    <w:pPr/>
    <w:rPr>
      <w:rFonts w:ascii="Times New Roman" w:hAnsi="Times New Roman" w:eastAsia="Times New Roman" w:cs="Times New Roman"/>
      <w:sz w:val="24"/>
      <w:szCs w:val="24"/>
      <w:lang w:val="pt-br" w:eastAsia="pt-br" w:bidi="pt-br"/>
    </w:rPr>
  </w:style>
  <w:style w:styleId="Heading1" w:type="paragraph">
    <w:name w:val="Heading 1"/>
    <w:basedOn w:val="Normal"/>
    <w:uiPriority w:val="1"/>
    <w:qFormat/>
    <w:pPr>
      <w:spacing w:before="127"/>
      <w:ind w:left="4025" w:right="15" w:hanging="5"/>
      <w:outlineLvl w:val="1"/>
    </w:pPr>
    <w:rPr>
      <w:rFonts w:ascii="Arial" w:hAnsi="Arial" w:eastAsia="Arial" w:cs="Arial"/>
      <w:sz w:val="28"/>
      <w:szCs w:val="28"/>
      <w:lang w:val="pt-br" w:eastAsia="pt-br" w:bidi="pt-br"/>
    </w:rPr>
  </w:style>
  <w:style w:styleId="Heading2" w:type="paragraph">
    <w:name w:val="Heading 2"/>
    <w:basedOn w:val="Normal"/>
    <w:uiPriority w:val="1"/>
    <w:qFormat/>
    <w:pPr>
      <w:spacing w:before="1"/>
      <w:ind w:left="2784" w:hanging="388"/>
      <w:outlineLvl w:val="2"/>
    </w:pPr>
    <w:rPr>
      <w:rFonts w:ascii="Times New Roman" w:hAnsi="Times New Roman" w:eastAsia="Times New Roman" w:cs="Times New Roman"/>
      <w:b/>
      <w:bCs/>
      <w:sz w:val="26"/>
      <w:szCs w:val="26"/>
      <w:lang w:val="pt-br" w:eastAsia="pt-br" w:bidi="pt-br"/>
    </w:rPr>
  </w:style>
  <w:style w:styleId="Heading3" w:type="paragraph">
    <w:name w:val="Heading 3"/>
    <w:basedOn w:val="Normal"/>
    <w:uiPriority w:val="1"/>
    <w:qFormat/>
    <w:pPr>
      <w:ind w:left="2345" w:hanging="360"/>
      <w:outlineLvl w:val="3"/>
    </w:pPr>
    <w:rPr>
      <w:rFonts w:ascii="Times New Roman" w:hAnsi="Times New Roman" w:eastAsia="Times New Roman" w:cs="Times New Roman"/>
      <w:b/>
      <w:bCs/>
      <w:sz w:val="24"/>
      <w:szCs w:val="24"/>
      <w:lang w:val="pt-br" w:eastAsia="pt-br" w:bidi="pt-br"/>
    </w:rPr>
  </w:style>
  <w:style w:styleId="Heading4" w:type="paragraph">
    <w:name w:val="Heading 4"/>
    <w:basedOn w:val="Normal"/>
    <w:uiPriority w:val="1"/>
    <w:qFormat/>
    <w:pPr>
      <w:ind w:left="3374" w:hanging="256"/>
      <w:outlineLvl w:val="4"/>
    </w:pPr>
    <w:rPr>
      <w:rFonts w:ascii="Times New Roman" w:hAnsi="Times New Roman" w:eastAsia="Times New Roman" w:cs="Times New Roman"/>
      <w:b/>
      <w:bCs/>
      <w:i/>
      <w:sz w:val="24"/>
      <w:szCs w:val="24"/>
      <w:lang w:val="pt-br" w:eastAsia="pt-br" w:bidi="pt-br"/>
    </w:rPr>
  </w:style>
  <w:style w:styleId="ListParagraph" w:type="paragraph">
    <w:name w:val="List Paragraph"/>
    <w:basedOn w:val="Normal"/>
    <w:uiPriority w:val="1"/>
    <w:qFormat/>
    <w:pPr>
      <w:ind w:left="2129" w:hanging="360"/>
    </w:pPr>
    <w:rPr>
      <w:rFonts w:ascii="Times New Roman" w:hAnsi="Times New Roman" w:eastAsia="Times New Roman" w:cs="Times New Roman"/>
      <w:lang w:val="pt-br" w:eastAsia="pt-br" w:bidi="pt-br"/>
    </w:rPr>
  </w:style>
  <w:style w:styleId="TableParagraph" w:type="paragraph">
    <w:name w:val="Table Paragraph"/>
    <w:basedOn w:val="Normal"/>
    <w:uiPriority w:val="1"/>
    <w:qFormat/>
    <w:pPr/>
    <w:rPr>
      <w:rFonts w:ascii="Times New Roman" w:hAnsi="Times New Roman" w:eastAsia="Times New Roman" w:cs="Times New Roman"/>
      <w:lang w:val="pt-br" w:eastAsia="pt-br" w:bidi="pt-b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jpe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jpeg"/><Relationship Id="rId15" Type="http://schemas.openxmlformats.org/officeDocument/2006/relationships/hyperlink" Target="http://www.anm.gov.br/assuntos/barragens/legislacao-barragens" TargetMode="External"/><Relationship Id="rId16" Type="http://schemas.openxmlformats.org/officeDocument/2006/relationships/hyperlink" Target="http://www3.ana.gov.br/portal/ANA/regulacao/saiba-quem-regula/reservatorios" TargetMode="External"/><Relationship Id="rId17" Type="http://schemas.openxmlformats.org/officeDocument/2006/relationships/hyperlink" Target="http://www.maxwell.vrac.puc-rio.br/20720/20720_3.PDF" TargetMode="External"/><Relationship Id="rId18" Type="http://schemas.openxmlformats.org/officeDocument/2006/relationships/image" Target="media/image11.png"/><Relationship Id="rId19" Type="http://schemas.openxmlformats.org/officeDocument/2006/relationships/image" Target="media/image12.png"/><Relationship Id="rId20" Type="http://schemas.openxmlformats.org/officeDocument/2006/relationships/image" Target="media/image13.png"/><Relationship Id="rId21" Type="http://schemas.openxmlformats.org/officeDocument/2006/relationships/image" Target="media/image14.jpeg"/><Relationship Id="rId22" Type="http://schemas.openxmlformats.org/officeDocument/2006/relationships/image" Target="media/image15.jpeg"/><Relationship Id="rId23" Type="http://schemas.openxmlformats.org/officeDocument/2006/relationships/hyperlink" Target="http://www.linkedin.com/pulse/monitoramento-automatizado-de-barragens-dalmo-barbosa" TargetMode="External"/><Relationship Id="rId24" Type="http://schemas.openxmlformats.org/officeDocument/2006/relationships/image" Target="media/image16.jpe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jpeg"/><Relationship Id="rId48" Type="http://schemas.openxmlformats.org/officeDocument/2006/relationships/image" Target="media/image40.jpeg"/><Relationship Id="rId49" Type="http://schemas.openxmlformats.org/officeDocument/2006/relationships/image" Target="media/image41.jpeg"/><Relationship Id="rId50" Type="http://schemas.openxmlformats.org/officeDocument/2006/relationships/image" Target="media/image42.png"/><Relationship Id="rId51" Type="http://schemas.openxmlformats.org/officeDocument/2006/relationships/image" Target="media/image43.jpeg"/><Relationship Id="rId52" Type="http://schemas.openxmlformats.org/officeDocument/2006/relationships/image" Target="media/image44.jpeg"/><Relationship Id="rId53" Type="http://schemas.openxmlformats.org/officeDocument/2006/relationships/image" Target="media/image45.jpeg"/><Relationship Id="rId54" Type="http://schemas.openxmlformats.org/officeDocument/2006/relationships/image" Target="media/image46.jpeg"/><Relationship Id="rId55" Type="http://schemas.openxmlformats.org/officeDocument/2006/relationships/image" Target="media/image47.jpeg"/><Relationship Id="rId56" Type="http://schemas.openxmlformats.org/officeDocument/2006/relationships/image" Target="media/image48.jpeg"/><Relationship Id="rId57" Type="http://schemas.openxmlformats.org/officeDocument/2006/relationships/image" Target="media/image49.jpeg"/><Relationship Id="rId58" Type="http://schemas.openxmlformats.org/officeDocument/2006/relationships/image" Target="media/image50.jpeg"/><Relationship Id="rId59" Type="http://schemas.openxmlformats.org/officeDocument/2006/relationships/image" Target="media/image51.jpeg"/><Relationship Id="rId60" Type="http://schemas.openxmlformats.org/officeDocument/2006/relationships/hyperlink" Target="http://www.em.com.br/app/noticia/gerais/2017/11/12/interna_gerais%2C916080/chuva-torna-mais-" TargetMode="External"/><Relationship Id="rId61" Type="http://schemas.openxmlformats.org/officeDocument/2006/relationships/hyperlink" Target="http://www.ibama.gov.br/acidentes-ambientais-marco-2008/rompimento-de-barragem-em-funcao" TargetMode="External"/><Relationship Id="rId62" Type="http://schemas.openxmlformats.org/officeDocument/2006/relationships/hyperlink" Target="http://www.mpf.mp.br/atuacao-tematica/ccr4/dados-da-" TargetMode="External"/><Relationship Id="rId63" Type="http://schemas.openxmlformats.org/officeDocument/2006/relationships/image" Target="media/image52.jpeg"/><Relationship Id="rId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dcterms:created xsi:type="dcterms:W3CDTF">2019-04-12T22:49:50Z</dcterms:created>
  <dcterms:modified xsi:type="dcterms:W3CDTF">2019-04-12T22:49:50Z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2019-04-11T00:00:00Z</vt:filetime>
  </property>
  <property fmtid="{D5CDD505-2E9C-101B-9397-08002B2CF9AE}" pid="3" name="Creator">
    <vt:lpwstr>Microsoft® Word 2010</vt:lpwstr>
  </property>
  <property fmtid="{D5CDD505-2E9C-101B-9397-08002B2CF9AE}" pid="4" name="LastSaved">
    <vt:filetime>2019-04-12T00:00:00Z</vt:filetime>
  </property>
</Properties>
</file>